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5F 22/2018 vom 13. November 2018</w:t>
      </w:r>
    </w:p>
    <w:p>
      <w:r>
        <w:t>Bundesgericht, 2018-11-13, DE</w:t>
      </w:r>
    </w:p>
    <w:p>
      <w:r>
        <w:rPr>
          <w:b/>
        </w:rPr>
        <w:t xml:space="preserve">Quelle: </w:t>
      </w:r>
      <w:r>
        <w:t>https://mcp.opencaselaw.ch/entscheid/bger_5F_22_2018</w:t>
      </w:r>
    </w:p>
    <w:p>
      <w:r>
        <w:t>FR: TF 5F 22/2018 du 13 novembre 2018</w:t>
      </w:r>
    </w:p>
    <w:p>
      <w:r>
        <w:t>IT: TF 5F 22/2018 del 13 novembre 2018</w:t>
      </w:r>
    </w:p>
    <w:p>
      <w:pPr>
        <w:pStyle w:val="Heading2"/>
      </w:pPr>
      <w:r>
        <w:t>Regeste</w:t>
      </w:r>
    </w:p>
    <w:p>
      <w:r>
        <w:t>Gesuch um Revision des bundesgerichtlichen Urteils 5A_745/2018 vom 18. September 2018 | Sachenrecht</w:t>
      </w:r>
    </w:p>
    <w:p>
      <w:pPr>
        <w:pStyle w:val="Heading2"/>
      </w:pPr>
      <w:r>
        <w:t>Erwägungen</w:t>
      </w:r>
    </w:p>
    <w:p>
      <w:r>
        <w:rPr>
          <w:b/>
        </w:rPr>
        <w:t>E. 1</w:t>
      </w:r>
    </w:p>
    <w:p>
      <w:r>
        <w:t>Ein Revisionsgesuch ist bei derjenigen Instanz zu stellen, deren Urteil revidiert werden soll ( Art. 328 ZPO bzw. Art. 121 BGG ). Vor Bundesgericht kann deshalb nur die Revision des bundesgerichtlichen Urteils verlangt werden.</w:t>
      </w:r>
    </w:p>
    <w:p>
      <w:r>
        <w:rPr>
          <w:b/>
        </w:rPr>
        <w:t>E. 2</w:t>
      </w:r>
    </w:p>
    <w:p>
      <w:r>
        <w:t>Das Bundesgericht vermittelt keine Rechtsvertretung. Vielmehr ist es an der Partei bzw. den Parteien, einen Rechtsanwalt mit der Interessenwahrung zu beauftragen.</w:t>
      </w:r>
    </w:p>
    <w:p>
      <w:r>
        <w:rPr>
          <w:b/>
        </w:rPr>
        <w:t>E. 3</w:t>
      </w:r>
    </w:p>
    <w:p>
      <w:r>
        <w:t>In der Sache werden keinerlei Revisionsgründe angerufen und es wird auch inhaltlich kein Revisionsthema angesprochen. Vielmehr äussern sich die Beschwerdeführer zur stockwerkeigentümerrechtlichen Angelegenheit, erheben Vorwürfe gegen die kantonalen Instanzen und machen geltend, es dürfe nicht sein, dass ihre Anliegen unbeurteilt blieben. All dies steht in keinem Zusammenhang mit den in Art. 121, 122 und 123 BGG abschliessend aufgezählten Revisionsgründen.</w:t>
      </w:r>
    </w:p>
    <w:p>
      <w:r>
        <w:rPr>
          <w:b/>
        </w:rPr>
        <w:t>E. 4</w:t>
      </w:r>
    </w:p>
    <w:p>
      <w:r>
        <w:t>Nach dem Gesagten ist auf das Revisionsgesuch nicht einzutreten. Mit dem Entscheid in der Sache wird das Gesuch um aufschiebende Wirkung gegenstandslos.</w:t>
      </w:r>
    </w:p>
    <w:p>
      <w:r>
        <w:rPr>
          <w:b/>
        </w:rPr>
        <w:t>E. 5</w:t>
      </w:r>
    </w:p>
    <w:p>
      <w:r>
        <w:t>Wie die vorstehenden Erwägungen zeigen, konnte dem Revisionsgesuch von Anfang an kein Erfolg beschieden sein, weshalb es an den materiellen Voraussetzungen der unentgeltlichen Rechtspflege fehlt ( Art. 64 Abs. 1 BGG ) und das entsprechende Gesuch abzuweisen ist.</w:t>
      </w:r>
    </w:p>
    <w:p>
      <w:r>
        <w:rPr>
          <w:b/>
        </w:rPr>
        <w:t>E. 6</w:t>
      </w:r>
    </w:p>
    <w:p>
      <w:r>
        <w:t>Die Gerichtskosten sind den Gesuchstellern aufzuerlegen ( Art. 66 Abs. 1 BGG ), wobei diese hierfür solidarisch haften ( Art. 66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