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 21/2023 vom 20. Oktober 2023</w:t>
      </w:r>
    </w:p>
    <w:p>
      <w:r>
        <w:t>Bundesgericht, 2023-10-20, FR</w:t>
      </w:r>
    </w:p>
    <w:p>
      <w:r>
        <w:rPr>
          <w:b/>
        </w:rPr>
        <w:t xml:space="preserve">Quelle: </w:t>
      </w:r>
      <w:r>
        <w:t>https://mcp.opencaselaw.ch/entscheid/bger_5F_21_2023</w:t>
      </w:r>
    </w:p>
    <w:p>
      <w:r>
        <w:t>FR: TF 5F 21/2023 du 20 octobre 2023</w:t>
      </w:r>
    </w:p>
    <w:p>
      <w:r>
        <w:t>IT: TF 5F 21/2023 del 20 ottobre 2023</w:t>
      </w:r>
    </w:p>
    <w:p>
      <w:pPr>
        <w:pStyle w:val="Heading2"/>
      </w:pPr>
      <w:r>
        <w:t>Regeste</w:t>
      </w:r>
    </w:p>
    <w:p>
      <w:r>
        <w:t>demande de révision de l'arrêt du Tribunal fédéral 5A_56/2023 du 22 mars 2023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13 juillet 2022, dont la motivation a été adressée aux parties le 2 août 2022, le Juge de paix du district de la Riviera - Pays-d'Enhaut a rejeté la requête de mainlevée de l'opposition déposée par A.________ à l'encontre de B.________ ( poursuite n° yyy de l'Office des poursuites du même district ). Statuant le 22 décembre 2022, la Cour des poursuites et faillites du Tribunal cantonal du canton de Vaud a rejeté le recours du poursuivant et confirmé le prononcé attaqué.</w:t>
      </w:r>
    </w:p>
    <w:p>
      <w:r>
        <w:rPr>
          <w:b/>
        </w:rPr>
        <w:t>E. 2</w:t>
      </w:r>
    </w:p>
    <w:p>
      <w:r>
        <w:t>Par arrêt du 22 mars 2023, la IIe Cour de droit civil du Tribunal fédéral a déclaré irrecevable, faute de paiement de l'avance de frais, le recours en matière civile du poursuivant (5A_56/2023).</w:t>
      </w:r>
    </w:p>
    <w:p>
      <w:r>
        <w:rPr>
          <w:b/>
        </w:rPr>
        <w:t>E. 3</w:t>
      </w:r>
    </w:p>
    <w:p>
      <w:r>
        <w:t>Par mémoire mis à la poste le 24 juillet 2023, le poursuivant demande la " réouverture du dossier KC22.020288-2209990 163 " en raison " d'un élément nouveau pertinent ", procédé à " instruire selon la LTF ". Des observations n'ont pas été requises.</w:t>
      </w:r>
    </w:p>
    <w:p>
      <w:r>
        <w:rPr>
          <w:b/>
        </w:rPr>
        <w:t>E. 4</w:t>
      </w:r>
    </w:p>
    <w:p>
      <w:r>
        <w:t>En l'occurrence, la demande de révision est (implicitement) fondée sur l' art. 123 al. 2 let. a LTF . Il apparaît superflu d'examiner plus avant les conditions d'application de cette disposition ( cf . à ce sujet: ATF 147 III 238 consid. 4 et les citations), le procédé étant voué à l'échec.</w:t>
      </w:r>
    </w:p>
    <w:p>
      <w:r>
        <w:rPr>
          <w:b/>
        </w:rPr>
        <w:t>E. 5.1</w:t>
      </w:r>
    </w:p>
    <w:p>
      <w:r>
        <w:t>De jurisprudence constante, lorsque le Tribunal fédéral n'entre pas en matière sur un recours, son arrêt ne se substitue pas à la décision cantonale entreprise, qui demeure en force et peut seule faire l'objet d'une demande de révision sur le fond ( ATF 138 II 386 consid. 6.2 et les citations; 134 III 669 consid. 2.2; parmi d'autres: arrêts 8C_88/2023 du 23 mai 2023; 1F_4/2023 du 27 février 2023 consid. 2, avec d'autres références). La demande de révision de l'arrêt du Tribunal fédéral ne peut se référer, quant à elle, qu'au motif d'irrecevabilité qui affecte cet arrêt ( ATF 134 III 669 consid. 2.2; 118 II 477 consid. 1).</w:t>
      </w:r>
    </w:p>
    <w:p>
      <w:r>
        <w:rPr>
          <w:b/>
        </w:rPr>
        <w:t>E. 5.2</w:t>
      </w:r>
    </w:p>
    <w:p>
      <w:r>
        <w:t>En l'espèce, le nouvel élément " pertinent " invoqué par le requérant se rapporte à l'existence d'une reconnaissance de dette selon l' art. 82 al. 1 LP (niée par la cour cantonale), qui résulterait du " rapprochement de plusieurs pièces qui confondent le poursuivi ". Cette argumentation ne concerne cependant pas le motif d'irrecevabilité retenu dans l'arrêt attaqué ( i.e. non-paiement de l'avance de frais [ art. 62 al. 3 LTF ]), en sorte que la demande est d'emblée irrecevable.</w:t>
      </w:r>
    </w:p>
    <w:p>
      <w:r>
        <w:rPr>
          <w:b/>
        </w:rPr>
        <w:t>E. 6</w:t>
      </w:r>
    </w:p>
    <w:p>
      <w:r>
        <w:t>En conclusion, la demande de révision doit être déclarée irrecevable,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