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5F_20/2024 vom 15. Juli 2024</w:t>
      </w:r>
    </w:p>
    <w:p>
      <w:r>
        <w:t>Bundesgericht, 2024-07-15, DE</w:t>
      </w:r>
    </w:p>
    <w:p>
      <w:r>
        <w:rPr>
          <w:b/>
        </w:rPr>
        <w:t xml:space="preserve">Quelle: </w:t>
      </w:r>
      <w:r>
        <w:t>https://mcp.opencaselaw.ch/entscheid/bger_5F_20_2024</w:t>
      </w:r>
    </w:p>
    <w:p>
      <w:r>
        <w:t>FR: TF 5F_20/2024 du 15 juillet 2024</w:t>
      </w:r>
    </w:p>
    <w:p>
      <w:r>
        <w:t>IT: TF 5F_20/2024 del 15 luglio 2024</w:t>
      </w:r>
    </w:p>
    <w:p>
      <w:pPr>
        <w:pStyle w:val="Heading2"/>
      </w:pPr>
      <w:r>
        <w:t>Erwägungen</w:t>
      </w:r>
    </w:p>
    <w:p>
      <w:r>
        <w:rPr>
          <w:b/>
        </w:rPr>
        <w:t>E. 1</w:t>
      </w:r>
    </w:p>
    <w:p>
      <w:r>
        <w:t>Ein bundesgerichtliches Urteil erwächst mit seiner Ausfällung in Rechtskraft ( Art. 61 BGG ), weshalb darauf grundsätzlich nicht zurückgekommen werden kann. Allerdings kann es auf entsprechendes Gesuch hin in Revision gezogen werden. Ein solches scheint der Gesuchsteller stellen zu wollen, wenn er von Berufung gegen das Urteil 5A_348/2024 spricht.</w:t>
      </w:r>
    </w:p>
    <w:p>
      <w:r>
        <w:rPr>
          <w:b/>
        </w:rPr>
        <w:t>E. 2</w:t>
      </w:r>
    </w:p>
    <w:p>
      <w:r>
        <w:t>Allerdings ist die Revision nur aus einem der in Art. 121 ff. BGG abschliessend genannten Gründe möglich, wobei der Revisionsgrund in der Gesuchsbegründung in gedrängter Form darzulegen ist ( Art. 42 Abs. 2 BGG ). Die Revision dient insbesondere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nennt keinen Revisionsgrund und erst recht legt er nicht dar, inwiefern ein solcher gegeben sein sollte. Auf das Revisionsgesuch ist deshalb nicht einzutreten. Der Gesuchsteller wird ferner darauf aufmerksam gemacht, dass das Bundesgericht weitere Gesuche ähnlicher Art in der vorliegenden Angelegenheit (nach Prüfung) unbeantwortet ablegen wird.</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