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1/2024 vom 29. Januar 2024</w:t>
      </w:r>
    </w:p>
    <w:p>
      <w:r>
        <w:t>Bundesgericht, 2024-01-29, DE</w:t>
      </w:r>
    </w:p>
    <w:p>
      <w:r>
        <w:rPr>
          <w:b/>
        </w:rPr>
        <w:t xml:space="preserve">Quelle: </w:t>
      </w:r>
      <w:r>
        <w:t>https://mcp.opencaselaw.ch/entscheid/bger_5F_1_2024</w:t>
      </w:r>
    </w:p>
    <w:p>
      <w:r>
        <w:t>FR: TF 5F 1/2024 du 29 janvier 2024</w:t>
      </w:r>
    </w:p>
    <w:p>
      <w:r>
        <w:t>IT: TF 5F 1/2024 del 29 gennaio 2024</w:t>
      </w:r>
    </w:p>
    <w:p>
      <w:pPr>
        <w:pStyle w:val="Heading2"/>
      </w:pPr>
      <w:r>
        <w:t>Regeste</w:t>
      </w:r>
    </w:p>
    <w:p>
      <w:r>
        <w:t>Revisionsgesuch gegen das Urteil des Schweizerischen Bundesgerichts 5A_276/2023 vom 30. Oktober 2023 | Schuldbetreibungs- und Konkursrecht</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5F_1/2024 betrifft das bundesgerichtliche Urteil 5A_276/2023 vom 30. Oktober 2023 (Besetzung: Bundesrichterin Escher als präsidierendes Mitglied, Bundesrichter von Werdt und Bovey). Der Gesuchsteller verlangt den Ausstand von Bundesrichterin Escher sowie der Bundesrichter von Werdt, Herrmann und Bovey. Eventuell sei nach Art. 37 Abs. 3 BGG vorzugehen.</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4.1</w:t>
      </w:r>
    </w:p>
    <w:p>
      <w:r>
        <w:t>Im Rahmen seines Revisionsgesuchs gegen das Urteil 5A_276/2023 macht der Gesuchsteller die Befangenheit von Bundesrichterin Escher und der Bundesrichter von Werdt und Herrmann geltend. Soweit er sich damit sinngemäss auf den Revisionsgrund von Art. 121 lit. a BGG berufen möchte, ist zunächst festzuhalten, dass Bundesrichter Herrmann am Urteil 5A_276/2023 nicht beteiligt war. Im Übrigen begründet der Gesuchsteller die Befangenheit mit der Beteiligung der Genannten an den Urteilen 5A_206/2011 vom 18. Mai 2011, 5F_7/2011 vom 19. Juli 2011, 5D_117/2012 vom 10. Juli 2012 und 5D_13/2013 vom 4. Juni 2013. Er bezieht sich damit auf Umstände, die ihm bei Anhebung des Verfahrens 5A_276/2023 längst bekannt waren. Dennoch hat er im Verfahren 5A_276/2023 keine Ausstandsgesuche gestellt. Es entspricht langjähriger Praxis, dass der Anspruch auf Geltendmachung eines Ausstandsgrundes verwirkt ist, wenn er bereits im vorangegangenen Verfahren hätte vorgebracht werden können ( BGE 124 I 121 E. 2; vgl. das in Sachen des Gesuchstellers ergangene Urteil 5F_3/2012 vom 14. Mai 2013 E. 3 mit Hinweis). Auf das Revisionsgesuch ist insoweit nicht einzutreten.</w:t>
      </w:r>
    </w:p>
    <w:p>
      <w:r>
        <w:rPr>
          <w:b/>
        </w:rPr>
        <w:t>E. 4.2</w:t>
      </w:r>
    </w:p>
    <w:p>
      <w:r>
        <w:t>Im Übrigen schildert der Gesuchsteller in teilweise schwer verständlicher Weise seine Sicht auf den Sachverhalt und die Rechtslage. Darauf ist nicht einzugehen. Nur am Rande beruft er sich ausdrücklich oder sinngemäss auf Revisionsgründe. So nennt er Art. 121 lit. c BGG und bringt vor, die Dr. B.________ Stiftung sei handlungsunfähig und habe an den Kollokationsklagen nicht teilnehmen können. Der angerufene Revisionsgrund geht jedoch dahin, dass einzelne Anträge unbeurteilt geblieben sein sollen. Inwieweit sein Vorbringen mit diesem Revisionsgrund zusammenhängen soll, ist nicht ersichtlich, zumal die Dr. B.________ Stiftung nicht Partei im Verfahren 5A_276/2023 war und ihre angebliche Handlungsunfähigkeit nicht Verfahrensthema. Sodann beruft sich der Gesuchsteller ausdrücklich und auch sinngemäss auf Art. 121 lit. b BGG , wobei die entsprechenden Ausführungen und ihr Zusammenhang mit diesem Revisionsgrund nicht nachzuvollziehen sind. Ausserdem seien in den Akten liegende erhebliche Tatsachen nicht berücksichtigt worden ( Art. 121 lit. d BGG ). Der Gesuchsteller übergeht, dass seine Beschwerde im Verfahren 5A_276/2023 im Wesentlichen ungenügend begründet war (E. 2.3.3 und 2.4.3). Was einzelne Aktenstücke an dieser Beurteilung hätten ändern können, legt er nicht dar. Soweit er geltend macht, genügend begründet zu haben oder anders als vom Bundesgericht dargelegt, verlangt er eine unzulässige Neubeurteilung in der Sache (vgl. oben E. 3) bzw. legt nicht dar, inwieweit die angebliche Abweichung erheblich sein könnte. Nicht nachvollzogen werden kann das Vorbringen, das Bundesgericht habe selber festgestellt, dass der Gesuchsteller die gesetzlichen Anforderungen an die Begründungspflicht erfüllt habe. Schliesslich macht der Gesuchsteller geltend, es sei nicht richtig, dass er die Gewährung der unentgeltlichen Rechtspflege für das gesamte kantonale Verfahren beantragt habe. Der Einwand beschlägt die Auslegung seines Antrags an das Bundesgericht, der dahingehend verstanden wurde, dass er die unentgeltliche Rechtspflege für alle vorliegend relevanten kantonalen Instanzen (Verfahren vor dem Friedensrichteramt und Beschwerdeverfahren am Obergericht) verlange. Inwieweit das Bundesgericht dadurch "für die Gegenpartei mehr gesprochen und das Recht des [Gesuchstellers] auf unentgeltliche Rechtspflege im Hauptprozess beschränkte", ist nicht nachvollziehbar. Insbesondere behauptet er nicht, dass ein Antrag übersehen worden wäre.</w:t>
      </w:r>
    </w:p>
    <w:p>
      <w:r>
        <w:rPr>
          <w:b/>
        </w:rPr>
        <w:t>E. 4.3</w:t>
      </w:r>
    </w:p>
    <w:p>
      <w:r>
        <w:t>Das Revisionsgesuch ist damit unzulässig und mangelhaft begründet. Darauf kann nicht eingetreten werden.</w:t>
      </w:r>
    </w:p>
    <w:p>
      <w:r>
        <w:rPr>
          <w:b/>
        </w:rPr>
        <w:t>E. 5</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