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19/2023 vom 17. Juli 2023</w:t>
      </w:r>
    </w:p>
    <w:p>
      <w:r>
        <w:t>Bundesgericht, 2023-07-17, DE</w:t>
      </w:r>
    </w:p>
    <w:p>
      <w:r>
        <w:rPr>
          <w:b/>
        </w:rPr>
        <w:t xml:space="preserve">Quelle: </w:t>
      </w:r>
      <w:r>
        <w:t>https://mcp.opencaselaw.ch/entscheid/bger_5F_19_2023</w:t>
      </w:r>
    </w:p>
    <w:p>
      <w:r>
        <w:t>FR: TF 5F 19/2023 du 17 juillet 2023</w:t>
      </w:r>
    </w:p>
    <w:p>
      <w:r>
        <w:t>IT: TF 5F 19/2023 del 17 luglio 2023</w:t>
      </w:r>
    </w:p>
    <w:p>
      <w:pPr>
        <w:pStyle w:val="Heading2"/>
      </w:pPr>
      <w:r>
        <w:t>Regeste</w:t>
      </w:r>
    </w:p>
    <w:p>
      <w:r>
        <w:t>Revisionsgesuch gegen das Urteil des Schweizerischen Bundesgerichts 5A_398/2022 vom 8. Juni 2022 | Schuldbetreibungs- und Konkursrecht</w:t>
      </w:r>
    </w:p>
    <w:p>
      <w:pPr>
        <w:pStyle w:val="Heading2"/>
      </w:pPr>
      <w:r>
        <w:t>Erwägungen</w:t>
      </w:r>
    </w:p>
    <w:p>
      <w:r>
        <w:rPr>
          <w:b/>
        </w:rPr>
        <w:t>E. 1</w:t>
      </w:r>
    </w:p>
    <w:p>
      <w:r>
        <w:t>Die Revision eines Bundesgerichtsurteils kann nur aus einem in Art. 121 ff. BGG abschliessend genannten Revisionsgrund verlangt werden, wobei dieser in der Gesuchsbegründung in gedrängter Form darzulegen ist ( Art. 42 Abs. 2 BGG ; Urteil 5F_36/2022 vom 29. November 2022 E. 3 m.w.H.). Die Revision dient nicht dazu, die Rechtslage erneut zu diskutieren und inhaltlich eine Wiedererwägung des ergangenen bundesgerichtlichen Urteils zu verlangen (Urteil 5F_36/2022 vom 29. November 2022 E. 3 m.w.H.).</w:t>
      </w:r>
    </w:p>
    <w:p>
      <w:r>
        <w:rPr>
          <w:b/>
        </w:rPr>
        <w:t>E. 2</w:t>
      </w:r>
    </w:p>
    <w:p>
      <w:r>
        <w:t>Das Bundesgericht ist im zu revidierenden Urteil 5A_398/2023 auf die Beschwerde vom 28. Mai 2022 nicht eingetreten, weil diese offensichtlich nicht hinreichend begründet war ( Art. 108 Abs. 1 lit. b BGG ). Im Revisionsgesuch werden diesbezüglich keine Revisionsgründe angeführt und es sind auch keine ersichtlich. Vielmehr bezieht sich die Gesuchstellerin - fast wortgleich mit vielen anderen Revisionsgesuchen - auf eine Beschwerde vom 28. April 2023, mit welcher der widerrechtlich verursachte Schaden belegt sei. Damit scheint sie sich auf ihre Erbstreitigkeiten zu beziehen, in deren Kontext sie ebenfalls wiederholt an das Bundesgericht gelangt ist. Ein irgendwie gearteter Bezug zum Pfändungsvollzug für die Steuerforderung ist nicht ersichtlich.</w:t>
      </w:r>
    </w:p>
    <w:p>
      <w:r>
        <w:rPr>
          <w:b/>
        </w:rPr>
        <w:t>E. 3</w:t>
      </w:r>
    </w:p>
    <w:p>
      <w:r>
        <w:t>Nach dem Gesagten bleibt das Revisionsgesuch unbegründet und es ist darauf nicht einzutreten.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