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5F_19/2018 vom 29. Oktober 2018</w:t>
      </w:r>
    </w:p>
    <w:p>
      <w:r>
        <w:t>Bundesgericht, 2018-10-29, FR</w:t>
      </w:r>
    </w:p>
    <w:p>
      <w:r>
        <w:rPr>
          <w:b/>
        </w:rPr>
        <w:t xml:space="preserve">Quelle: </w:t>
      </w:r>
      <w:r>
        <w:t>https://mcp.opencaselaw.ch/entscheid/bger_5F_19_2018</w:t>
      </w:r>
    </w:p>
    <w:p>
      <w:r>
        <w:t>FR: TF 5F_19/2018 du 29 octobre 2018</w:t>
      </w:r>
    </w:p>
    <w:p>
      <w:r>
        <w:t>IT: TF 5F_19/2018 del 29 ottobre 2018</w:t>
      </w:r>
    </w:p>
    <w:p>
      <w:pPr>
        <w:pStyle w:val="Heading2"/>
      </w:pPr>
      <w:r>
        <w:t>Erwägungen</w:t>
      </w:r>
    </w:p>
    <w:p>
      <w:r>
        <w:rPr>
          <w:b/>
        </w:rPr>
        <w:t>E. 1</w:t>
      </w:r>
    </w:p>
    <w:p>
      <w:r>
        <w:t>La demande de révision fondée, comme en l'espèce, sur l' art. 123 al. 2 let. a LTF doit être déposée dans les 90 jours dès la découverte du motif de révision ( art. 124 al. 1 let . d LTF). Elle est soumise aux exigences de motivation découlant de l' art. 42 al. 1 et 2 LTF (arrêts 5F_20/2014 du 3 novembre 2014 consid. 1.1; 2F_13/2014 du 14 août 2014 consid. 4).</w:t>
      </w:r>
    </w:p>
    <w:p>
      <w:r>
        <w:t>La présente demande de révision a manifestement été déposée en temps utile et est en outre fondée sur des motifs prévus par la loi. Elle est donc en principe recevable au regard de ces dispositions.</w:t>
      </w:r>
    </w:p>
    <w:p>
      <w:r>
        <w:rPr>
          <w:b/>
        </w:rPr>
        <w:t>E. 2.1</w:t>
      </w:r>
    </w:p>
    <w:p>
      <w:r>
        <w:t>L' art. 123 al. 2 let. a LTF prévoit que la révision peut être demandée dans les affaires civiles et dans les affaires de droit public, si le requérant découvre après coup des faits pertinents ou des moyens de preuve concluants qu'il n'avait pas pu invoquer dans la procédure précédente, à l'exclusion des faits ou moyens de preuve postérieurs à l'arrêt. La jurisprudence précise que ces faits doivent être pertinents, c'est-à-dire de nature à modifier l'état de fait qui est à la base de l'arrêt attaqué et à aboutir à un jugement différent en fonction d'une appréciation juridique correcte (arrêt 9F_5/2018 du 16 août 2018 consid. 2.1 destiné à la publication et les arrêts cités). Seuls peuvent de surcroît justifier une révision les moyens de preuve qui portent sur des faits antérieurs à l'arrêt en question et qui existaient au moment où ils auraient pu être invoqués, mais qui, sans faute, ne l'ont pas été, en particulier parce que le requérant ne les connaissait pas, nonobstant la diligence exercée (arrêt 5F_9/2017 du 23 mars 2017 consid. 5.1). Il y a manque de diligence lorsque la découverte de faits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(arrêts 4F_18/2017 du 4 avril 2018 consid. 3.1.1; 4A_763/2011 du 30 avril 2012 consid. 3.1 in fine; 4A_528/2007 du 4 avril 2008 consid. 2.5.2.2 et les auteurs cités).</w:t>
      </w:r>
    </w:p>
    <w:p>
      <w:r>
        <w:rPr>
          <w:b/>
        </w:rPr>
        <w:t>E. 2.2</w:t>
      </w:r>
    </w:p>
    <w:p>
      <w:r>
        <w:t>Le requérant se prévaut en l'occurrence de correspondances, échangées durant les mois de juillet et août 2018 entre lui-même et le Dr L.________, médecin traitant et ami de J.Z.________. Deux éléments décisifs en ressortiraient. Premièrement, la veille et le jour même de l'instrumentation du testament authentique du 6 novembre 2008, ledit médecin aurait examiné J.Z.________, la jugeant alors parfaitement capable de discernement. Cette circonstance serait pertinente dès lors que le Tribunal fédéral, confirmant l'arrêt cantonal, a considéré que la défunte n'avait pas la pleine capacité de discernement lors de l'établissement du testament public du 6 novembre 2008, excluant ainsi la révocation, par celui-ci, des pactes successoraux contestés par le requérant. Secondement, le Dr L.________ évoquait dans ces courriers différents éléments factuels attestant le comportement manifestement dolosif de C.________ à l'égard de J.Z.________, circonstance écartée par le Tribunal de céans mais qui devait pourtant permettre de conclure à la nullité des pactes successoraux établis les 24 avril 2006 et 13 mars 2007 dès lors que ceux-ci n'auraient pas été l'expression de la volonté libre de la défunte.</w:t>
      </w:r>
    </w:p>
    <w:p>
      <w:r>
        <w:rPr>
          <w:b/>
        </w:rPr>
        <w:t>E. 2.3</w:t>
      </w:r>
    </w:p>
    <w:p>
      <w:r>
        <w:t>Les moyens de preuve invoqués par le recourant sont postérieurs à l'arrêt du Tribunal fédéral du 18 octobre 2017 en tant qu'ils ont été établis au cours de l'été 2018. Ils sont donc irrecevables, conformément à la lettre claire de l' art. 123 al. 2 let. a LTF . Au surplus, l'on relèvera au sujet des faits qui en ressortent, certes antérieurs à l'arrêt dont la révision est requise, que le requérant a renoncé à l'audition du Dr L.________ devant le Tribunal de première instance. Or, sauf à démontrer son manque de diligence, le requérant ne peut aujourd'hui se prévaloir qu'au moment de renoncer à cette audition, il ignorait les éléments factuels qu'il invoque aujourd'hui et que celle-ci aurait précisément permis d'établir - à savoir l'examen pratiqué par le médecin les 5 et 6 novembre 2008 et les circonstances factuelles relatives au comportement prétendument dolosif adopté par C.________.</w:t>
      </w:r>
    </w:p>
    <w:p>
      <w:r>
        <w:rPr>
          <w:b/>
        </w:rPr>
        <w:t>E. 3</w:t>
      </w:r>
    </w:p>
    <w:p>
      <w:r>
        <w:t>En définitive, la demande de révision doit être rejetée. Dès lors que les conclusions du requérant étaient vouées à l'échec, l'assistance judiciaire ne lui est pas accordée ( art. 64 al. 1 LTF ) et les frais judiciaires sont mis à sa charge ( art. 66 al. 1 LTF ). La requête d'effet suspensif est sans objet. Aucune indemnité de dépens n'est en conséquence allouée aux intimés dès lors que ceux-ci, invités à se déterminer sur dite requête, n'ont finalement pas eu à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