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5F_17/2024 vom 3. Juli 2024</w:t>
      </w:r>
    </w:p>
    <w:p>
      <w:r>
        <w:t>Bundesgericht, 2024-07-03, DE</w:t>
      </w:r>
    </w:p>
    <w:p>
      <w:r>
        <w:rPr>
          <w:b/>
        </w:rPr>
        <w:t xml:space="preserve">Quelle: </w:t>
      </w:r>
      <w:r>
        <w:t>https://mcp.opencaselaw.ch/entscheid/bger_5F_17_2024</w:t>
      </w:r>
    </w:p>
    <w:p>
      <w:r>
        <w:t>FR: TF 5F_17/2024 du 3 juillet 2024</w:t>
      </w:r>
    </w:p>
    <w:p>
      <w:r>
        <w:t>IT: TF 5F_17/2024 del 3 luglio 2024</w:t>
      </w:r>
    </w:p>
    <w:p>
      <w:pPr>
        <w:pStyle w:val="Heading2"/>
      </w:pPr>
      <w:r>
        <w:t>Erwägungen</w:t>
      </w:r>
    </w:p>
    <w:p>
      <w:r>
        <w:rPr>
          <w:b/>
        </w:rPr>
        <w:t>E. 1</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2</w:t>
      </w:r>
    </w:p>
    <w:p>
      <w:r>
        <w:t>Der Gesuchsteller ruft (isoliert) den Revisionsgrund von Art. 122 lit. c BGG an und rügt in der Folge verschiedene Bestimmungen der EMRK als verletzt. Er verkennt, dass Art. 122 lit. c BGG nicht dem allgemeinen Vorbringen von EMRK-Rügen und schon gar nicht zur Wiederholung der bereits im Verfahren 5A_318/2024 vorgebrachten Kritik dient. Vielmehr soll Art. 122 BGG in seiner Gesamtheit das Zurückkommen auf ein bundesgerichtliches Urteil, das mit seiner Ausfällung von Gesetzes wegen rechtskräftig wird ( Art. 61 BGG ), ermöglichen, soweit kumulativ drei Voraussetzungen erfüllt sind: Wenn der Europäische Gerichtshof für Menschenrechte in der betreffenden Angelegenheit eine Verletzung der EMRK festgestellt hat ( Art. 122 lit. a BGG ), wenn diesfalls eine Entschädigung nicht geeignet ist, die Folgen der Verletzung auszugleichen ( Art. 122 lit. b BGG ) und wenn drittens die Revision notwendig ist, um die Verletzung zu beseitigen ( Art. 122 lit. c BGG ). Diese Konstellation ist vorliegend von vornherein nicht gegeben.</w:t>
      </w:r>
    </w:p>
    <w:p>
      <w:r>
        <w:rPr>
          <w:b/>
        </w:rPr>
        <w:t>E. 3</w:t>
      </w:r>
    </w:p>
    <w:p>
      <w:r>
        <w:t>Nach dem Gesagten ist auf das Gesuch mangels eines potentiell zur Verfügung stehenden Revisionsgrundes nicht einzutreten.</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