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17/2016 vom 23. Dezember 2016</w:t>
      </w:r>
    </w:p>
    <w:p>
      <w:r>
        <w:t>Bundesgericht, 2016-12-23, DE</w:t>
      </w:r>
    </w:p>
    <w:p>
      <w:r>
        <w:rPr>
          <w:b/>
        </w:rPr>
        <w:t xml:space="preserve">Quelle: </w:t>
      </w:r>
      <w:r>
        <w:t>https://mcp.opencaselaw.ch/entscheid/bger_5F_17_2016</w:t>
      </w:r>
    </w:p>
    <w:p>
      <w:r>
        <w:t>FR: TF 5F 17/2016 du 23 décembre 2016</w:t>
      </w:r>
    </w:p>
    <w:p>
      <w:r>
        <w:t>IT: TF 5F 17/2016 del 23 dicembre 2016</w:t>
      </w:r>
    </w:p>
    <w:p>
      <w:pPr>
        <w:pStyle w:val="Heading2"/>
      </w:pPr>
      <w:r>
        <w:t>Regeste</w:t>
      </w:r>
    </w:p>
    <w:p>
      <w:r>
        <w:t>Revision des bundesgerichtlichen Urteils 5A_366/2016 vom 21. November 2016 | Sachenrecht</w:t>
      </w:r>
    </w:p>
    <w:p>
      <w:pPr>
        <w:pStyle w:val="Heading2"/>
      </w:pPr>
      <w:r>
        <w:t>Erwägungen</w:t>
      </w:r>
    </w:p>
    <w:p>
      <w:r>
        <w:rPr>
          <w:b/>
        </w:rPr>
        <w:t>E. 1</w:t>
      </w:r>
    </w:p>
    <w:p>
      <w:r>
        <w:t>Eine Berichtigung ist vorzunehmen, wenn das Dispositiv eines bundesgerichtlichen Entscheides unklar, unvollständig oder zweideutig ist ( Art. 129 Abs. 1 BGG ). Das trifft vorliegend nicht zu. Vielmehr geht es darum, dass ein Antrag unbeurteilt geblieben ist, was einen Revisionsgrund darstellt ( Art. 121 lit. c BGG ). Das Berichtigungsgesuch ist deshalb als Revisionsgesuch entgegenzunehmen.</w:t>
      </w:r>
    </w:p>
    <w:p>
      <w:r>
        <w:rPr>
          <w:b/>
        </w:rPr>
        <w:t>E. 2</w:t>
      </w:r>
    </w:p>
    <w:p>
      <w:r>
        <w:t>Die Gesuchstellerin hat in ihrer Vernehmlassung vom 16. August 2016 im Verfahren 5A_366/2016 den Zuspruch einer Parteientschädigung verlangt. Bei der Aussage in E. 7 des Urteils vom 21. November 2016, dies sei nicht der Fall und deshalb keine Entschädigung zuzusprechen, handelt es sich um ein offensichtliches Versehen. Zu klären ist deshalb, ob der Anspruch berechtigt ist oder nicht. Zwar wird der nicht anwaltlich vertretenen Partei grundsätzlich keine Parteientschädigung zugesprochen ( Art. 68 Abs. 2 BGG i.V.m. Art. 1 lit. a und Art. 2 Reglement über die Parteientschädigung und die Entschädigung für die amtliche Vertretung im Verfahren vor Bundesgericht, SR 173.110.210.3; BGE 133 III 439 E. 4 S. 446). Dies geschieht vor dem Hintergrund des Anwaltsmonopols ( Art. 40 Abs. 1 BGG ; vgl. Urteil 4A_209/2014 vom 16. Dezember 2014 E. 5). Vorliegend ergibt sich aber die Besonderheit, dass die zweiseitige Vernehmlassung vom Verwalter der Gesuchstellerin eingereicht worden war, welcher zur Vertretung der Stockwerkeigentümergemeinschaft aufgerufen ist ( Art. 712t ZGB ). Vor diesem Hintergrund rechtfertigt sich eine Entschädigung ( Art. 68 Abs. 2 BGG i.V.m. Art. 1 lit. b und 9 Reglement SR 173.110.210.3).</w:t>
      </w:r>
    </w:p>
    <w:p>
      <w:r>
        <w:rPr>
          <w:b/>
        </w:rPr>
        <w:t>E. 3</w:t>
      </w:r>
    </w:p>
    <w:p>
      <w:r>
        <w:t>Das Versehen ist im Rahmen des vorliegenden Revisionsentscheides zu korrigieren und der Gesuchstellerin eine Entschädigung zuzusprechen, wobei diese zur Vermeidung von Weiterungen (Eröffnung eines Schriftenwechsels, welcher seinerseits wieder Kosten generiert) auf die Bundesgerichtskasse genommen wird. Sodann ist der Gesuchstellerin auch für das vorliegende Verfahren eine Entschädigung aus der Bundesgerichtskasse zuzusprechen. Ferner werden für das vorliegende Verfahren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