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15/2023 vom 18. Juli 2023</w:t>
      </w:r>
    </w:p>
    <w:p>
      <w:r>
        <w:t>Bundesgericht, 2023-07-18, DE</w:t>
      </w:r>
    </w:p>
    <w:p>
      <w:r>
        <w:rPr>
          <w:b/>
        </w:rPr>
        <w:t xml:space="preserve">Quelle: </w:t>
      </w:r>
      <w:r>
        <w:t>https://mcp.opencaselaw.ch/entscheid/bger_5F_15_2023</w:t>
      </w:r>
    </w:p>
    <w:p>
      <w:r>
        <w:t>FR: TF 5F 15/2023 du 18 juillet 2023</w:t>
      </w:r>
    </w:p>
    <w:p>
      <w:r>
        <w:t>IT: TF 5F 15/2023 del 18 luglio 2023</w:t>
      </w:r>
    </w:p>
    <w:p>
      <w:pPr>
        <w:pStyle w:val="Heading2"/>
      </w:pPr>
      <w:r>
        <w:t>Regeste</w:t>
      </w:r>
    </w:p>
    <w:p>
      <w:r>
        <w:t>Revisionsgesuch gegen das Urteil des Schweizerischen Bundesgerichts 5D_76/2023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