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14/2023 vom 18. Juli 2023</w:t>
      </w:r>
    </w:p>
    <w:p>
      <w:r>
        <w:t>Bundesgericht, 2023-07-18, DE</w:t>
      </w:r>
    </w:p>
    <w:p>
      <w:r>
        <w:rPr>
          <w:b/>
        </w:rPr>
        <w:t xml:space="preserve">Quelle: </w:t>
      </w:r>
      <w:r>
        <w:t>https://mcp.opencaselaw.ch/entscheid/bger_5F_14_2023</w:t>
      </w:r>
    </w:p>
    <w:p>
      <w:r>
        <w:t>FR: TF 5F 14/2023 du 18 juillet 2023</w:t>
      </w:r>
    </w:p>
    <w:p>
      <w:r>
        <w:t>IT: TF 5F 14/2023 del 18 luglio 2023</w:t>
      </w:r>
    </w:p>
    <w:p>
      <w:pPr>
        <w:pStyle w:val="Heading2"/>
      </w:pPr>
      <w:r>
        <w:t>Regeste</w:t>
      </w:r>
    </w:p>
    <w:p>
      <w:r>
        <w:t>Revisionsgesuch gegen das Urteil des Schweizerischen Bundesgerichts 5D_75/2023 vom 7. Juni 2023 | Schuldbetreibungs- und Konkursrecht</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2</w:t>
      </w:r>
    </w:p>
    <w:p>
      <w:r>
        <w:t>Das Bundesgericht ist im zu revidierenden Urteil auf die subsidiäre Verfassungsbeschwerde der Gesuchstellerin nicht eingetreten, weil im Kontext mit dem Nichteintretensentscheid des Appellationsgerichtes keine Verfassungsverletzungen geltend gemacht worden sind und deshalb die Eingabe offensichtlich unbegründet geblieben ist ( Art. 108 Abs. 1 lit. b BGG ). Im Revisionsgesuch werden diesbezüglich keine Revisionsgründe angeführt und es sind auch keine ersichtlich. Vielmehr erhebt die Gesuchstellerin verschiedene Rügen in Bezug auf das kantonale Verfahren und insbesondere möchte sie die der Rechtsöffnung zugrunde liegende materielle Angelegenheit zur Diskussion stellen. Hierfür steht die Revision nicht offen.</w:t>
      </w:r>
    </w:p>
    <w:p>
      <w:r>
        <w:rPr>
          <w:b/>
        </w:rPr>
        <w:t>E. 3</w:t>
      </w:r>
    </w:p>
    <w:p>
      <w:r>
        <w:t>Nach dem Gesagten bleibt das Revisionsgesuch unbegründet und es ist darauf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