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5F_14/2018 vom 2. November 2018</w:t>
      </w:r>
    </w:p>
    <w:p>
      <w:r>
        <w:t>Bundesgericht, 2018-11-02, DE</w:t>
      </w:r>
    </w:p>
    <w:p>
      <w:r>
        <w:rPr>
          <w:b/>
        </w:rPr>
        <w:t xml:space="preserve">Quelle: </w:t>
      </w:r>
      <w:r>
        <w:t>https://mcp.opencaselaw.ch/entscheid/bger_5F_14_2018</w:t>
      </w:r>
    </w:p>
    <w:p>
      <w:r>
        <w:t>FR: TF 5F_14/2018 du 2 novembre 2018</w:t>
      </w:r>
    </w:p>
    <w:p>
      <w:r>
        <w:t>IT: TF 5F_14/2018 del 2 novembre 2018</w:t>
      </w:r>
    </w:p>
    <w:p>
      <w:pPr>
        <w:pStyle w:val="Heading2"/>
      </w:pPr>
      <w:r>
        <w:t>Erwägungen</w:t>
      </w:r>
    </w:p>
    <w:p>
      <w:r>
        <w:rPr>
          <w:b/>
        </w:rPr>
        <w:t>E. 1</w:t>
      </w:r>
    </w:p>
    <w:p>
      <w:r>
        <w:t>Die Nachfristansetzung wurde am 17. Mai 2018 und das Urteil 5A_372/2018 wurde am 23. Juni 2018 ins Postfach avisiert und ebenfalls nicht abgeholt. Die betreffenden Akte gelten am siebten Tag nach dem erfolglosen Zustellungsversuch, mithin am 24. Mai 2018 bzw. am 30. Juni 2018 als zugestellt ( Art. 44 Abs. 2 BGG ). Mit einem erst am 19. September 2018 erfolgenden Fristwiederherstellungsgesuch für die Leistung des Kostenvorschusses ist die 30-tägige Frist von Art. 50 Abs. 1 BGG nicht eingehalten.</w:t>
      </w:r>
    </w:p>
    <w:p>
      <w:r>
        <w:t>Überdies wird auch kein tauglicher Verhinderungsgrund im Sinn von Art. 50 Abs. 1 BGG dargetan. Ein solcher soll wohl darin zu finden sein, dass sich A.________ auf eine längere Abwesenheit beruft. Wie bereits im Urteil 5A_372/2018 festgehalten wurde, mussten die Gesuchsteller aufgrund der von ihnen eingereichten Beschwerde - zumal angesichts der seit Jahren notorisch querulatorischen Beschwerdeführung die Verfahrensabläufe bestens bekannt sind - mit umgehenderfolgenden Zustellungen wie namentlich der Aufforderung zur Leistung eines Kostenvorschusses rechnen. Sie waren verpflichtet, für den Abwesenheitsfall die nötigen Massnahmen zu treffen, damit ihnen gerichtliche Mitteilungen zukommen konnten ( BGE 141 II 429 E. 3.1 S. 431 f.). Ein Beschwerdeführer kann sich dieser Pflicht nicht durch blossen Hinweis auf eine Abwesenheit entziehen.</w:t>
      </w:r>
    </w:p>
    <w:p>
      <w:r>
        <w:t>Auf das Gesuch um Wiederherstellung der Kostenvorschussfrist ist nach dem Gesagten nicht einzutreten.</w:t>
      </w:r>
    </w:p>
    <w:p>
      <w:r>
        <w:rPr>
          <w:b/>
        </w:rPr>
        <w:t>E. 2</w:t>
      </w:r>
    </w:p>
    <w:p>
      <w:r>
        <w:t>Revisionsgründe werden keine genannt und solche sind auch nicht ersichtlich. Das Vorbringen, nie Post erhalten zu haben, was das rechtliche Gehör und das Recht auf ein faires Verfahren verletze, geht an der Sache vorbei, weil die Zustellungsfiktion ex lege ( Art. 44 Abs. 2 BGG ), mithin unabhängig davon eintritt, ob und wann der Adressat vom Inhalt der Sendung Kenntnis erhält. Ferner mussten die Gesuchsteller wie gesagt mit Zustellungen rechnen und geeignete Vorkehrungen treffen.</w:t>
      </w:r>
    </w:p>
    <w:p>
      <w:r>
        <w:t>Auf das Revisionsgesuch kann mithin ebenfalls nicht eingetreten werden.</w:t>
      </w:r>
    </w:p>
    <w:p>
      <w:r>
        <w:rPr>
          <w:b/>
        </w:rPr>
        <w:t>E. 3</w:t>
      </w:r>
    </w:p>
    <w:p>
      <w:r>
        <w:t>Mit dem Entscheid in der Sache ist das Gesuch um aufschiebende Wirkung gegenstandslos.</w:t>
      </w:r>
    </w:p>
    <w:p>
      <w:r>
        <w:rPr>
          <w:b/>
        </w:rPr>
        <w:t>E. 4</w:t>
      </w:r>
    </w:p>
    <w:p>
      <w:r>
        <w:t>Die Gerichtskosten sind den Gesuchstellern aufzuerlegen ( Art. 66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