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5F_11/2014 vom 10. Juli 2014</w:t>
      </w:r>
    </w:p>
    <w:p>
      <w:r>
        <w:t>Bundesgericht, 2014-07-10, DE</w:t>
      </w:r>
    </w:p>
    <w:p>
      <w:r>
        <w:rPr>
          <w:b/>
        </w:rPr>
        <w:t xml:space="preserve">Quelle: </w:t>
      </w:r>
      <w:r>
        <w:t>https://mcp.opencaselaw.ch/entscheid/bger_5F_11_2014</w:t>
      </w:r>
    </w:p>
    <w:p>
      <w:r>
        <w:t>FR: TF 5F_11/2014 du 10 juillet 2014</w:t>
      </w:r>
    </w:p>
    <w:p>
      <w:r>
        <w:t>IT: TF 5F_11/2014 del 10 luglio 2014</w:t>
      </w:r>
    </w:p>
    <w:p>
      <w:pPr>
        <w:pStyle w:val="Heading2"/>
      </w:pPr>
      <w:r>
        <w:t>Erwägungen</w:t>
      </w:r>
    </w:p>
    <w:p>
      <w:r>
        <w:rPr>
          <w:b/>
        </w:rPr>
        <w:t>E. 1</w:t>
      </w:r>
    </w:p>
    <w:p>
      <w:r>
        <w:t>Die Revision eines Bundesgerichtsurteils kann nur aus einem der im Gesetz abschliessend genannten Gründe verlangt werden (Art. 121 bis Art. 123 BGG ; ESCHER, in: Basler Kommentar, Bundesgerichtsgesetz, 2. Aufl. 2011, N. 1 zu Art. 121). Das Gesuch muss einen solchen anrufen oder zumindest Tatsachen nennen, die von einem gesetzlichen Revisionsgrund erfasst sind. Ob im konkreten Fall ein Grund zur Revision vorliegt, ist nicht eine Frage des Eintretens, sondern der materiellen Beurteilung. Immerhin gelten auch für die Revision die Anforderungen gemäss Art. 42 Abs. 2 BGG , wonach die gestellten Begehren zu begründen sind, d.h. in gedrängter Form darzulegen ist, inwiefern der angefochtene Akt Recht verletzt. Der Revisionsbedarf muss aufgrund des Gesuches erkennbar sein ( ESCHER, a.a.O., N. 5 zu Art. 127).</w:t>
      </w:r>
    </w:p>
    <w:p>
      <w:r>
        <w:rPr>
          <w:b/>
        </w:rPr>
        <w:t>E. 2</w:t>
      </w:r>
    </w:p>
    <w:p>
      <w:r>
        <w:t>Die Gesuchstellerin führt in ihrem Revisionsbegehren aus, das Bundesgericht habe mit der Ausfällung des angefochtenen Urteils Art. 9 BV und Art. 6 EMRK verletzt. Dies gelte insbesondere hinsichtlich der zu streng angesetzten Eintretensvoraussetzungen, der Frage der Zustellung der Verfahrensakten an einen Nichtanwalt, der Ernennung des Gutachters I.________ und seines Berichtes sowie der Anwendung von Art. 9 VZG . Mit diesen Vorbringen zielt die Gesuchstellerin auf einen für sie doch noch günstigen Entscheid ab, indem sie das Bundesgericht gleichsam um eine Wiedererwägung seines Urteils ersucht. Dafür ist das Revisionsverfahren indes nicht gegeben ( ESCHER, a.a.O., N. 2 zu Art. 121).</w:t>
      </w:r>
    </w:p>
    <w:p>
      <w:r>
        <w:rPr>
          <w:b/>
        </w:rPr>
        <w:t>E. 3</w:t>
      </w:r>
    </w:p>
    <w:p>
      <w:r>
        <w:t>Im Weiteren macht die Gesuchstellerin in allgemeiner Weise ein Versehen des Bundesgerichts geltend, da es an ihre seinerzeitige Beschwerde zu strenge Anforderungen gestellt habe und zudem ihren Antrag betreffend die Kosten der Schätzung und des kantonalen Verfahrens übergangen habe.</w:t>
      </w:r>
    </w:p>
    <w:p>
      <w:r>
        <w:rPr>
          <w:b/>
        </w:rPr>
        <w:t>E. 3.1</w:t>
      </w:r>
    </w:p>
    <w:p>
      <w:r>
        <w:t>Dem Bundesgericht ist ein Versehen unterlaufen, wenn es eine Aktenstelle übergangen oder nach dem tatsächlichen Wortlaut unrichtig wahrgenommen hat ( Art. 121 lit. d BGG ). Es kann einzig um Sachverhaltsmomente in den Akten und niemals um einen Rechtsstandpunkt gehen ( ESCHER, a.a.O., N. 9 zu Art. 121).</w:t>
      </w:r>
    </w:p>
    <w:p>
      <w:r>
        <w:rPr>
          <w:b/>
        </w:rPr>
        <w:t>E. 3.2</w:t>
      </w:r>
    </w:p>
    <w:p>
      <w:r>
        <w:t>Die Vorbringen der Gesuchstellerin beschlagen kein Versehen im Sinne des Gesetzes, sondern stellen hinsichtlich der prozessualen Anforderungen an eine Beschwerde ausschliesslich Kritik an der Rechtsanwendung dar, wofür die Revision nicht zur Verfügung steht. Konnte das Bundesgericht auf die Beschwerde insgesamt nicht eintreten, so bestand kein Anlass die Kosten der Schätzung und des kantonalen Verfahrens zu überprüfen. Hierin liegt keinesfalls ein Versehen und auch kein unbeurteilter Antrag ( Art. 121 lit. c BGG ).</w:t>
      </w:r>
    </w:p>
    <w:p>
      <w:r>
        <w:rPr>
          <w:b/>
        </w:rPr>
        <w:t>E. 4</w:t>
      </w:r>
    </w:p>
    <w:p>
      <w:r>
        <w:t>Dem Revisionsbegehren ist nach dem Gesagten kein Erfolg beschieden. Ausgangsgemäss trägt die Gesuchstellerin die Verfahrenskosten.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