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10/2013 vom 23. Juli 2013</w:t>
      </w:r>
    </w:p>
    <w:p>
      <w:r>
        <w:t>Bundesgericht, 2013-07-23, FR</w:t>
      </w:r>
    </w:p>
    <w:p>
      <w:r>
        <w:rPr>
          <w:b/>
        </w:rPr>
        <w:t xml:space="preserve">Quelle: </w:t>
      </w:r>
      <w:r>
        <w:t>https://mcp.opencaselaw.ch/entscheid/bger_5F_10_2013</w:t>
      </w:r>
    </w:p>
    <w:p>
      <w:r>
        <w:t>FR: TF 5F 10/2013 du 23 juillet 2013</w:t>
      </w:r>
    </w:p>
    <w:p>
      <w:r>
        <w:t>IT: TF 5F 10/2013 del 23 luglio 2013</w:t>
      </w:r>
    </w:p>
    <w:p>
      <w:pPr>
        <w:pStyle w:val="Heading2"/>
      </w:pPr>
      <w:r>
        <w:t>Regeste</w:t>
      </w:r>
    </w:p>
    <w:p>
      <w:r>
        <w:t>demande de révision de l'arrêt du Tribunal fédéral du 7 mars 2013 (5A_867/2012)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l' art. 121 let . c LTF, la révision d'un arrêt du Tribunal fédéral peut être demandée si le tribunal n'a pas statué sur certaines conclusions. Cette condition est satisfaite notamment lorsque la partie qui a obtenu gain de cause fait valoir, à l'appui de sa demande de révision, qu'elle avait pris des conclusions tendant aux dépens et que le Tribunal fédéral a omis de lui allouer cette indemnisation ( ATF 111 Ia 155 consid. 2 p. 155/156; arrêt 4F_11/2010 du 21 octobre 2010 consid. 1). Pour le surplus, la demande a été introduite en temps utile ( art. 124 al. 1 let. b LTF ) et dans les formes requises (art. 42 al. 1 à 3 LTF); elle est donc recevable.</w:t>
      </w:r>
    </w:p>
    <w:p>
      <w:r>
        <w:rPr>
          <w:b/>
        </w:rPr>
        <w:t>E. 2</w:t>
      </w:r>
    </w:p>
    <w:p>
      <w:r>
        <w:t>Aux termes de l' art. 68 al. 1 et 5 LTF , le Tribunal fédéral décide, dans son arrêt, si et dans quelle mesure les frais de la partie qui obtient gain de cause sont supportés par celle qui succombe (al. 1); il confirme, annule ou modifie, selon le sort de la cause, la décision de l'autorité précédente sur les dépens; il peut fixer lui-même les dépens d'après le tarif fédéral ou cantonal applicable, ou laisser à l'autorité précédente le soin de les fixer (al. 5). Le requérant a exercé le recours en matière civile et obtenu entièrement gain de cause sur le fond. Il y a lieu d'admettre qu'il a pris des conclusions implicites sur les frais et dépens des instances cantonales pour le cas où son recours serait admis. Conformément à la pratique consacrée en matière civile et prévue par l'art. 68 al. 5 in fine LTF, il s'imposait de renvoyer l'affaire à la Cour de justice pour que cette autorité statue à nouveau sur les frais et dépens des deux instances cantonales. Par inadvertance, cette clause de renvoi a été omise dans le dispositif. La demande de révision se révèle donc fondée et le Tribunal fédéral doit remédier à l'omission ici constatée. Nonobstant l' art. 128 al. 1 LTF , il n'est pas nécessaire d'annuler l'arrêt attaqué.</w:t>
      </w:r>
    </w:p>
    <w:p>
      <w:r>
        <w:rPr>
          <w:b/>
        </w:rPr>
        <w:t>E. 3</w:t>
      </w:r>
    </w:p>
    <w:p>
      <w:r>
        <w:t>Il ne sera pas perçu de frais judiciaires et une indemnité de 500 fr. sera allouée au requérant à titre de dépens, à charge de la caisse du Tribunal fédéral ( art. 66 al. 1 et 68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