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5D_9/2026 vom 17. März 2026</w:t>
      </w:r>
    </w:p>
    <w:p>
      <w:r>
        <w:t>Bundesgericht, 2026-03-17, DE</w:t>
      </w:r>
    </w:p>
    <w:p>
      <w:r>
        <w:rPr>
          <w:b/>
        </w:rPr>
        <w:t xml:space="preserve">Quelle: </w:t>
      </w:r>
      <w:r>
        <w:t>https://mcp.opencaselaw.ch/entscheid/bger_5D_9_2026</w:t>
      </w:r>
    </w:p>
    <w:p>
      <w:r>
        <w:t>FR: TF 5D_9/2026 du 17 mars 2026</w:t>
      </w:r>
    </w:p>
    <w:p>
      <w:r>
        <w:t>IT: TF 5D_9/2026 del 17 marzo 2026</w:t>
      </w:r>
    </w:p>
    <w:p>
      <w:pPr>
        <w:pStyle w:val="Heading2"/>
      </w:pPr>
      <w:r>
        <w:t>Erwägungen</w:t>
      </w:r>
    </w:p>
    <w:p>
      <w:r>
        <w:rPr>
          <w:b/>
        </w:rPr>
        <w:t>E. 1</w:t>
      </w:r>
    </w:p>
    <w:p>
      <w:r>
        <w:t>Angefochten ist ein kantonal letztinstanzlicher Entscheid in einer Zivilsache ( Art. 72 Abs. 1 und Art. 75 Abs. 1 BGG ), welcher ausschliesslich die in einem separaten erstinstanzlichen Entscheid festgesetzte Höhe der Parteikosten betrifft, wobei der diesbezügliche Streitwert die für die Beschwerde in Zivilsachen erforderliche Mindestsumme von Fr. 30'000.-- ( Art. 74 Abs. 1 lit. b BGG ) nicht erreicht. Somit steht die subsidiäre Verfassungsbeschwerde offen (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 Ferner ist zu beachten, dass der Anfechtungsgegenstand im Rechtsmittelverfahren nicht ausgedehnt werden kann; soweit mehr oder anderes verlangt wird, als von der Vorinstanz beurteilt wurde, ist darauf von vornherein nicht einzutreten ( BGE 142 I 155 E. 4.4.2).</w:t>
      </w:r>
    </w:p>
    <w:p>
      <w:r>
        <w:rPr>
          <w:b/>
        </w:rPr>
        <w:t>E. 3</w:t>
      </w:r>
    </w:p>
    <w:p>
      <w:r>
        <w:t>Der Beschwerdeführer macht namentlich eine Verletzung des rechtlichen Gehörs, des Willkürverbotes, der Meinungsäusserungsfreiheit, des Anspruches auf ein faires Verfahren und des Grundsatzes von Treu und Glauben im Verfahren geltend. Seine Ausführungen bleiben indes abstrakt, indem er den Inhalt der von ihm angerufenen verfassungsmässigen Rechte und Grundsätze erläutert. Kernerwägung des angefochtenen Entscheides war jedoch, dass sich der Beschwerdeführer zufolge längst abgelaufener Beschwerdefrist nicht mehr zum Inhalt des Massnahmenentscheides vom 10. Juni 2025, in welchem im Übrigen auch bereits über die Verlegung der Kosten entschieden worden war, sondern einzig noch zur Höhe der Parteientschädigung äussern bzw. diese anfechten könne, welche mit Entscheid vom 30. September 2025 (schriftlich begründet am 4. Dezember 2025) in Umsetzung des Massnahmenentscheides vom 10. Juni 2025 festgesetzt worden war. Dazu äussert sich der Beschwerdeführer auch vor Bundesgericht nicht in sachgerichteter Weise und schon gar nicht zeigt er auf, inwiefern der obergerichtliche Entscheid bzw. dessen Erwägungen gegen verfassungsmässige Rechte verstossen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