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5D_9/2025 vom 22. Januar 2025</w:t>
      </w:r>
    </w:p>
    <w:p>
      <w:r>
        <w:t>Bundesgericht, 2025-01-22, DE</w:t>
      </w:r>
    </w:p>
    <w:p>
      <w:r>
        <w:rPr>
          <w:b/>
        </w:rPr>
        <w:t xml:space="preserve">Quelle: </w:t>
      </w:r>
      <w:r>
        <w:t>https://mcp.opencaselaw.ch/entscheid/bger_5D_9_2025</w:t>
      </w:r>
    </w:p>
    <w:p>
      <w:r>
        <w:t>FR: TF 5D_9/2025 du 22 janvier 2025</w:t>
      </w:r>
    </w:p>
    <w:p>
      <w:r>
        <w:t>IT: TF 5D_9/2025 del 22 gennaio 2025</w:t>
      </w:r>
    </w:p>
    <w:p>
      <w:pPr>
        <w:pStyle w:val="Heading2"/>
      </w:pPr>
      <w:r>
        <w:t>Erwägungen</w:t>
      </w:r>
    </w:p>
    <w:p>
      <w:r>
        <w:rPr>
          <w:b/>
        </w:rPr>
        <w:t>E. 1</w:t>
      </w:r>
    </w:p>
    <w:p>
      <w:r>
        <w:t>Angefochten ist der kantonal letztinstanzliche Entscheid über die Nachzahlung von kraft unentgeltlicher Rechtspflege im Eheschutzverfahren vorgeschossenen Gerichts- und Anwaltskosten in einer Höhe von Fr. 5'050.90. Der für die Beschwerde in Zivilsachen erforderliche Mindeststreitwert von Fr. 30'000.-- ( Art. 74 Abs. 1 lit. b BGG ) ist nicht erreicht und es steht somit die subsidiäre Verfassungsbeschwerde zur Verfügung ( Art. 113 BGG ).</w:t>
      </w:r>
    </w:p>
    <w:p>
      <w:r>
        <w:rPr>
          <w:b/>
        </w:rPr>
        <w:t>E. 2</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Entscheides klar und detailliert darzulegen ist, inwiefern verfassungsmässige Rechte verletzt worden sein sollen, während auf appellatorische Ausführungen nicht eingetreten werden kann ( BGE 140 III 264 E. 2.3; 142 III 364 E. 2.4).</w:t>
      </w:r>
    </w:p>
    <w:p>
      <w:r>
        <w:rPr>
          <w:b/>
        </w:rPr>
        <w:t>E. 3</w:t>
      </w:r>
    </w:p>
    <w:p>
      <w:r>
        <w:t>Weder nennt der Beschwerdeführer, welche verfassungsmässigen Bestimmungen verletzt worden sein sollen, noch entsprechen seine Ausführungen inhaltlich den an Verfassungsrügen zu stellenden Begründungsanforderungen.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