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99/2023 vom 27. Juni 2023</w:t>
      </w:r>
    </w:p>
    <w:p>
      <w:r>
        <w:t>Bundesgericht, 2023-06-27, DE</w:t>
      </w:r>
    </w:p>
    <w:p>
      <w:r>
        <w:rPr>
          <w:b/>
        </w:rPr>
        <w:t xml:space="preserve">Quelle: </w:t>
      </w:r>
      <w:r>
        <w:t>https://mcp.opencaselaw.ch/entscheid/bger_5D_99_2023</w:t>
      </w:r>
    </w:p>
    <w:p>
      <w:r>
        <w:t>FR: TF 5D 99/2023 du 27 juin 2023</w:t>
      </w:r>
    </w:p>
    <w:p>
      <w:r>
        <w:t>IT: TF 5D 99/2023 del 27 giugno 2023</w:t>
      </w:r>
    </w:p>
    <w:p>
      <w:pPr>
        <w:pStyle w:val="Heading2"/>
      </w:pPr>
      <w:r>
        <w:t>Regeste</w:t>
      </w:r>
    </w:p>
    <w:p>
      <w:r>
        <w:t>Definitive Rechtsöffnung | Schuldbetreibungs- und Konkursrecht</w:t>
      </w:r>
    </w:p>
    <w:p>
      <w:pPr>
        <w:pStyle w:val="Heading2"/>
      </w:pPr>
      <w:r>
        <w:t>Erwägungen</w:t>
      </w:r>
    </w:p>
    <w:p>
      <w:r>
        <w:rPr>
          <w:b/>
        </w:rPr>
        <w:t>E. 1</w:t>
      </w:r>
    </w:p>
    <w:p>
      <w:r>
        <w:t>Mit Entscheid vom 10. November 2022 erteilte das Kantonsgericht Obwalden der Beschwerdegegnerin gegenüber der Beschwerdeführerin in der Betreibung Nr. xxx des Betreibungsamtes Obwalden die definitive Rechtsöffnung für Fr. 450.-- nebst Zins. Als Rechtsöffnungstitel diente ein Strafbefehl vom 4. März 2022. Gegen den Rechtsöffnungsentscheid erhob die Beschwerdeführerin am 3. Januar 2023 (Poststempel) Beschwerde. Mit Entscheid vom 25. April 2023 wies das Obergericht des Kantons Obwalden die Beschwerde ab und bestätigte den angefochtenen Entscheid. Am 1. Juni 2023 ist die Beschwerdeführerin an das Obergericht gelangt. Das Obergericht hat die Eingabe samt den Akten dem Bundesgericht übermittelt ( Art. 48 Abs. 3 BGG ).</w:t>
      </w:r>
    </w:p>
    <w:p>
      <w:r>
        <w:rPr>
          <w:b/>
        </w:rPr>
        <w:t>E. 2</w:t>
      </w:r>
    </w:p>
    <w:p>
      <w:r>
        <w:t>Die Beschwerdeführerin ersucht um Aufhebung des obergerichtlichen Entscheids und um Rückzug des Strafbefehls und des Zahlungsbefehls. Damit liegt ein hinreichender Beschwerdewille vor. Aufgrund des unter Fr. 30'000.-- liegenden Streitwerts ( Art. 74 Abs. 1 lit. b BGG ) und mangels Vorliegens einer Rechtsfrage von grundsätzlicher Bedeutung ( Art. 74 Abs. 2 lit. a BGG ) ist die Eingabe als subsidiäre Verfassungsbeschwerde zu behandeln ( Art. 113 ff. BGG ). Mit ihr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Die Beschwerdeführerin legt nicht dar, inwiefern durch den angefochtenen Entscheid verfassungsmässige Rechte verletzt worden sein sollen. Sie macht bloss geltend, dass eine zwölfmonatige Frist zwischen zwei Ereignissen überschritten worden sei. Es ist unklar, worauf sie sich damit bezieht. Die Beschwerde enthält offensichtlich keine hinreichende Begründung. Das präsidierende Mitglied der Abteilung tritt auf sie im vereinfachten Verfahren nicht ein (Art. 117 i.V.m. Art. 108 Abs. 1 lit. b BGG ).</w:t>
      </w:r>
    </w:p>
    <w:p>
      <w:r>
        <w:rPr>
          <w:b/>
        </w:rPr>
        <w:t>E. 4</w:t>
      </w:r>
    </w:p>
    <w:p>
      <w:r>
        <w:t>Bei diesem Ausgang des Verfahrens trägt die Beschwerdeführerin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