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5D_99/2022 vom 2. August 2022</w:t>
      </w:r>
    </w:p>
    <w:p>
      <w:r>
        <w:t>Bundesgericht, 2022-08-02, DE</w:t>
      </w:r>
    </w:p>
    <w:p>
      <w:r>
        <w:rPr>
          <w:b/>
        </w:rPr>
        <w:t xml:space="preserve">Quelle: </w:t>
      </w:r>
      <w:r>
        <w:t>https://mcp.opencaselaw.ch/entscheid/bger_5D_99_2022</w:t>
      </w:r>
    </w:p>
    <w:p>
      <w:r>
        <w:t>FR: TF 5D_99/2022 du 2 août 2022</w:t>
      </w:r>
    </w:p>
    <w:p>
      <w:r>
        <w:t>IT: TF 5D_99/2022 del 2 agosto 2022</w:t>
      </w:r>
    </w:p>
    <w:p>
      <w:pPr>
        <w:pStyle w:val="Heading2"/>
      </w:pPr>
      <w:r>
        <w:t>Erwägungen</w:t>
      </w:r>
    </w:p>
    <w:p>
      <w:r>
        <w:rPr>
          <w:b/>
        </w:rPr>
        <w:t>E. 1</w:t>
      </w:r>
    </w:p>
    <w:p>
      <w:r>
        <w:t>Mit Entscheid vom 27. Mai 2022 erteilte das Bezirksgericht Zürich dem Beschwerdegegner gegenüber der Beschwerdeführerin in der Betreibung Nr. zzz des Betreibungsamtes Zürich 11 - für Gerichtskosten des Kreisgerichts St. Gallen - definitive Rechtsöffnung für Fr. 1'700.-- nebst Zins.</w:t>
      </w:r>
    </w:p>
    <w:p>
      <w:r>
        <w:t>Dagegen erhob die Beschwerdeführerin am 15. Juni 2022 (Poststempel) Beschwerde. Mit Beschluss vom 27. Juni 2022 trat das Obergericht des Kantons Zürich auf die Beschwerde mangels genügender Begründung nicht ein.</w:t>
      </w:r>
    </w:p>
    <w:p>
      <w:r>
        <w:t>Dagegen - sowie gegen zwei weitere Beschlüsse (dazu Verfahren 5D_97/2022 und 5D_98/2022) - hat die Beschwerdeführerin am 10. Juli 2022 (Postaufgabe) Beschwerde an das Bundesgericht erhoben.</w:t>
      </w:r>
    </w:p>
    <w:p>
      <w:r>
        <w:rPr>
          <w:b/>
        </w:rPr>
        <w:t>E. 2</w:t>
      </w:r>
    </w:p>
    <w:p>
      <w:r>
        <w:t>Aufgrund des unter Fr. 30'000.-- liegenden Streitwerts ( Art. 74 Abs. 1 lit. b BGG ) und mangels Vorliegens einer Rechtsfrage von grundsätzlicher Bedeutung ( Art. 74 Abs. 2 lit. a BGG ) ist nur die subsidiäre Verfassungsbeschwerde zulässig ( Art. 113 ff. BGG ). Gerügt werden kann einzig die Verletzung verfassungsmässiger Rechte ( Art. 116 BGG ).</w:t>
      </w:r>
    </w:p>
    <w:p>
      <w:r>
        <w:t>Der Beschluss des Obergerichts ist ein Nichteintretensentscheid. Thema des bundesgerichtlichen Verfahrens ist demnach grundsätzlich einzig, ob das Obergericht gegen verfassungsmässige Rechte verstossen hat, indem es auf die kantonale Beschwerde nicht eingetreten ist. Diesbezüglich müsste die Beschwerdeführerin anhand der Erwägungen des angefochtenen Entscheids klar und detailliert darlegen, inwiefern verfassungsmässige Rechte verletzt worden sein sollen (Art. 117 i.V.m. Art. 106 Abs. 2 BGG ; BGE 133 II 396 E. 3.1; 142 III 364 E. 2.4). Eine solche Darlegung fehlt. Stattdessen erschöpft sich die Beschwerde im Wesentlichen in einem Rundumschlag gegen einzelne Personen und die Behörden. Zudem stellt die Beschwerdeführerin Anträge, die über den Gegenstand des vorliegenden Rechtsöffnungsverfahrens hinausgehen und damit unzulässig sind (Aufhebung von weiteren, nicht konkret bezeichneten Entscheiden; Löschung von Betreibungen und Grundbucheinträgen; Rückzahlung von Geldbeträgen; etc.). Zur Entgegennahme von Strafanzeigen ist das Bundesgericht schliesslich nicht zuständig.</w:t>
      </w:r>
    </w:p>
    <w:p>
      <w:r>
        <w:t>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