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99/2021 vom 17. Mai 2021</w:t>
      </w:r>
    </w:p>
    <w:p>
      <w:r>
        <w:t>Bundesgericht, 2021-05-17, DE</w:t>
      </w:r>
    </w:p>
    <w:p>
      <w:r>
        <w:rPr>
          <w:b/>
        </w:rPr>
        <w:t xml:space="preserve">Quelle: </w:t>
      </w:r>
      <w:r>
        <w:t>https://mcp.opencaselaw.ch/entscheid/bger_5D_99_2021</w:t>
      </w:r>
    </w:p>
    <w:p>
      <w:r>
        <w:t>FR: TF 5D 99/2021 du 17 mai 2021</w:t>
      </w:r>
    </w:p>
    <w:p>
      <w:r>
        <w:t>IT: TF 5D 99/2021 del 17 maggio 2021</w:t>
      </w:r>
    </w:p>
    <w:p>
      <w:pPr>
        <w:pStyle w:val="Heading2"/>
      </w:pPr>
      <w:r>
        <w:t>Regeste</w:t>
      </w:r>
    </w:p>
    <w:p>
      <w:r>
        <w:t>Kostenerlass (definitive Rechtsöffnung) | 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Angesichts des weniger als Fr. 30'000.-- betragenden Streitwertes steht nicht die Beschwerde in Zivilsachen ( Art. 74 Abs. 1 lit. b BGG ), sondern nur die subsidiäre Verfassungsbeschwerde offen ( Art. 113 BGG ), mit welcher einzig die Verletzung verfassungsmässiger Rechte gerügt werden kann ( Art. 116 BGG ), wofür das strenge Rügeprinzip gilt (Art. 106 Abs. 2 i.V.m. Art. 117 Abs. 1 BGG ).</w:t>
      </w:r>
    </w:p>
    <w:p>
      <w:r>
        <w:rPr>
          <w:b/>
        </w:rPr>
        <w:t>E. 2</w:t>
      </w:r>
    </w:p>
    <w:p>
      <w:r>
        <w:t>Das Obergericht hat das Gesuch abgewiesen mit der Erwägung, der Kostenerlass im Sinn von Art. 112 Abs. 1 ZPO und Art. 10 Abs. 1 VKD/BE setze voraus, dass das seinerzeitige Verfahren nicht aussichtslos gewesen sei, ansonsten die Voraussetzungen der unentgeltlichen Rechtspflicht nachträglich auf dem Weg des Kostenerlasses umgangen werden könnten.</w:t>
      </w:r>
    </w:p>
    <w:p>
      <w:r>
        <w:rPr>
          <w:b/>
        </w:rPr>
        <w:t>E. 3</w:t>
      </w:r>
    </w:p>
    <w:p>
      <w:r>
        <w:t>Der Beschwerdeführer rügt keine verfassungsmässigen Rechte als verletzt und setzt sich nicht einmal in einer den allgemeinen Begründungsanforderungen von Art. 42 Abs. 2 BGG genügenden Weise mit den Erwägungen des angefochtenen Entscheides auseinander. Vielmehr bezieht er sich auf das Strafverfahren, welches in einem anderen Kanton stattfand, und wirft der Walliser Justiz Willkür vor.</w:t>
      </w:r>
    </w:p>
    <w:p>
      <w:r>
        <w:rPr>
          <w:b/>
        </w:rPr>
        <w:t>E. 4</w:t>
      </w:r>
    </w:p>
    <w:p>
      <w:r>
        <w:t>Nach dem Gesagten ist die Beschwerde offensichtlich nicht hinreichend begründet und somit ist auf sie im vereinfachten Verfahren nach Art. 108 Abs. 1 lit. b BGG nicht einzutreten.</w:t>
      </w:r>
    </w:p>
    <w:p>
      <w:r>
        <w:rPr>
          <w:b/>
        </w:rPr>
        <w:t>E. 5</w:t>
      </w:r>
    </w:p>
    <w:p>
      <w:r>
        <w:t>Die Gerichtskosten sind dem Beschwerdeführer aufzuerlegen ( Art. 66 Abs. 1 BGG ). 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