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96/2023 vom 26. Juni 2023</w:t>
      </w:r>
    </w:p>
    <w:p>
      <w:r>
        <w:t>Bundesgericht, 2023-06-26, DE</w:t>
      </w:r>
    </w:p>
    <w:p>
      <w:r>
        <w:rPr>
          <w:b/>
        </w:rPr>
        <w:t xml:space="preserve">Quelle: </w:t>
      </w:r>
      <w:r>
        <w:t>https://mcp.opencaselaw.ch/entscheid/bger_5D_96_2023</w:t>
      </w:r>
    </w:p>
    <w:p>
      <w:r>
        <w:t>FR: TF 5D 96/2023 du 26 juin 2023</w:t>
      </w:r>
    </w:p>
    <w:p>
      <w:r>
        <w:t>IT: TF 5D 96/2023 del 26 giugno 2023</w:t>
      </w:r>
    </w:p>
    <w:p>
      <w:pPr>
        <w:pStyle w:val="Heading2"/>
      </w:pPr>
      <w:r>
        <w:t>Regeste</w:t>
      </w:r>
    </w:p>
    <w:p>
      <w:r>
        <w:t>Definitive Rechtsöffnung | Schuldbetreibungs- und Konkursrecht</w:t>
      </w:r>
    </w:p>
    <w:p>
      <w:pPr>
        <w:pStyle w:val="Heading2"/>
      </w:pPr>
      <w:r>
        <w:t>Erwägungen</w:t>
      </w:r>
    </w:p>
    <w:p>
      <w:r>
        <w:rPr>
          <w:b/>
        </w:rPr>
        <w:t>E. 1</w:t>
      </w:r>
    </w:p>
    <w:p>
      <w:r>
        <w:t>Mit Entscheid vom 28. Februar 2023 erteilte das Regionalgericht Bern-Mittelland den Beschwerdegegnern gegenüber dem Beschwerdeführer in der Betreibung Nr. zzz des Betreibungsamtes Bern-Mittelland, Dienststelle Mittelland, die definitive Rechtsöffnung für Fr. 10'775.45 nebst Bussen und Gebühren. Dagegen erhob der Beschwerdeführer am 24. März 2023 Beschwerde. Mit Entscheid vom 26. April 2023 trat das Obergericht des Kantons Bern auf die Beschwerde mangels hinreichender Begründung nicht ein. Dagegen hat der Beschwerdeführer am 26. Mai 2023 Beschwerde in Zivilsachen an das Bundesgericht erhoben.</w:t>
      </w:r>
    </w:p>
    <w:p>
      <w:r>
        <w:rPr>
          <w:b/>
        </w:rPr>
        <w:t>E. 2</w:t>
      </w:r>
    </w:p>
    <w:p>
      <w:r>
        <w:t>Aufgrund des unter Fr. 30'000.-- liegenden Streitwerts ( Art. 74 Abs. 1 lit. b BGG ) und mangels Vorliegens einer Rechtsfrage von grundsätzlicher Bedeutung ( Art. 74 Abs. 2 lit. a BGG ) ist die Beschwerde in Zivilsachen unzulässig. Die Eingabe ist als subsidiäre Verfassungsbeschwerde zu behandeln ( Art. 113 ff. BGG ). Mit der Verfassungsbeschwerde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w:t>
      </w:r>
    </w:p>
    <w:p>
      <w:r>
        <w:rPr>
          <w:b/>
        </w:rPr>
        <w:t>E. 3</w:t>
      </w:r>
    </w:p>
    <w:p>
      <w:r>
        <w:t>Der Beschwerdeführer führt aus, weshalb er nicht bereit ist, Steuern zu zahlen (er habe in den letzten drei Jahren schwere Entehrung erfahren; der Bundesrat arbeite nicht für das Volk; etc.) und er macht geltend, dass die Beschwerdegegner seinem Steuerbefreiungsantrag nicht stattgegeben hätten. Die Ausführungen stammen im Wesentlichen aus dem Umfeld von Staatsverweigererbewegungen. Bei alldem legt der Beschwerdeführer nicht dar, inwiefern das Obergericht durch seinen Nichteintretensentscheid gegen verfassungsmässige Rechte verstossen haben soll. Auch mit den Eventualerwägungen zur fehlenden mündlichen Verhandlung und zur Begründungspflicht setzt er sich nicht auseinander. Die Berufung auf die Präambel der Bundesverfassung genügt den Rügeanforderungen nicht. Die Beschwerde enthält offensichtlich keine hinreichende Begründung. Das präsidierende Mitglied der Abteilung tritt auf sie im vereinfachten Verfahren nicht ein (Art. 117 i.V.m. Art. 108 Abs. 1 lit. b BGG ).</w:t>
      </w:r>
    </w:p>
    <w:p>
      <w:r>
        <w:rPr>
          <w:b/>
        </w:rPr>
        <w:t>E. 4</w:t>
      </w:r>
    </w:p>
    <w:p>
      <w:r>
        <w:t>Bei diesem Ausgang des Verfahrens trägt der Beschwerdeführer die Gerichtskosten ( Art. 66 Abs. 1 BGG ). Demnach erkennt das präsidierende Mitglied: 1. Auf die Beschwerde wird nicht eingetreten. 2. Die Gerichtskosten von Fr. 500.-- werden dem Beschwerdeführer auferlegt. 3. Dieses Urteil wird den Parteien und dem Obergericht des Kantons Bern, 2. Zivilkammer, mitgeteilt. Lausanne, 26. Juni 2023 Im Namen der II. zivilrechtlichen Abteilung des Schweizerischen Bundesgerichts Das präsidierende Mitglied: Escher Der Gerichtsschreiber: Zingg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