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5D_95/2016 vom 3. Februar 2017</w:t>
      </w:r>
    </w:p>
    <w:p>
      <w:r>
        <w:t>Bundesgericht, 2017-02-03, FR</w:t>
      </w:r>
    </w:p>
    <w:p>
      <w:r>
        <w:rPr>
          <w:b/>
        </w:rPr>
        <w:t xml:space="preserve">Quelle: </w:t>
      </w:r>
      <w:r>
        <w:t>https://mcp.opencaselaw.ch/entscheid/bger_5D_95_2016</w:t>
      </w:r>
    </w:p>
    <w:p>
      <w:r>
        <w:t>FR: TF 5D_95/2016 du 3 février 2017</w:t>
      </w:r>
    </w:p>
    <w:p>
      <w:r>
        <w:t>IT: TF 5D_95/2016 del 3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l'espèce, la recourante conclut à l'octroi de la mainlevée définitive à concurrence d'un montant exprimé en monnaie étrangère. Or, un tel procédé n'est pas admissible.</w:t>
      </w:r>
    </w:p>
    <w:p>
      <w:r>
        <w:t>Le Tribunal fédéral, saisi d'un recours constitutionnel subsidiaire, peut certes prononcer lui-même la mainlevée de l'opposition (art. 107 al. 2, par renvoi de l' art. 117 LTF ; parmi d'autres: arrêt 5D_13/2016 du 18 mai 2016 consid. 1.3, non publié</w:t>
      </w:r>
    </w:p>
    <w:p>
      <w:r>
        <w:t>in : SJ 2016 I 487). Contrairement à ce qui vaut pour une condamnation (pécuniaire) au fond (</w:t>
      </w:r>
    </w:p>
    <w:p>
      <w:r>
        <w:t>cf . ATF 134 III 151 consid. 2.4, avec les citations), il ne peut toutefois l'accorder que pour un montant exprimé en francs suisses (</w:t>
      </w:r>
    </w:p>
    <w:p>
      <w:r>
        <w:t>cf . ATF 134 III 151 consid. 2.4; arrêt 5A_589/2012 du 13 décembre 2012 consid. 2.2, avec la doctrine citée), exigence qui découle de l' art. 67 al. 1 ch. 3 LP ( ATF 134 III 151 consid. 2.3, avec de nombreuses références).</w:t>
      </w:r>
    </w:p>
    <w:p>
      <w:r>
        <w:rPr>
          <w:b/>
        </w:rPr>
        <w:t>E. 2</w:t>
      </w:r>
    </w:p>
    <w:p>
      <w:r>
        <w:t>Vu ce qui précède, le recours est d'emblée irrecevable en raison de ses conclusions irrégulières. Une telle conséquence ne procède d'aucun formalisme excessif: l'obligation - que la jurisprudence a réaffirmée à maintes reprises - de convertir en francs suisses les créances libellées en monnaie étrangère dans la procédure d'exécution forcée ne pouvait échapper à un mandataire professionnel qui agit devant la plus haute juridiction du pays. Cela étant, les frais judiciaires sont mis à la charge de la recourante ( art. 66 al. 1 LTF ); il n'y a pas lieu d'allouer de dépens à l'intimé, qui n'a pas été invité à présenter des observations ( art. 68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