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95/2012 vom 8. Juni 2012</w:t>
      </w:r>
    </w:p>
    <w:p>
      <w:r>
        <w:t>Bundesgericht, 2012-06-08, DE</w:t>
      </w:r>
    </w:p>
    <w:p>
      <w:r>
        <w:rPr>
          <w:b/>
        </w:rPr>
        <w:t xml:space="preserve">Quelle: </w:t>
      </w:r>
      <w:r>
        <w:t>https://mcp.opencaselaw.ch/entscheid/bger_5D_95_2012</w:t>
      </w:r>
    </w:p>
    <w:p>
      <w:r>
        <w:t>FR: TF 5D 95/2012 du 8 juin 2012</w:t>
      </w:r>
    </w:p>
    <w:p>
      <w:r>
        <w:t>IT: TF 5D 95/2012 del 8 giugno 2012</w:t>
      </w:r>
    </w:p>
    <w:p>
      <w:pPr>
        <w:pStyle w:val="Heading2"/>
      </w:pPr>
      <w:r>
        <w:t>Regeste</w:t>
      </w:r>
    </w:p>
    <w:p>
      <w:r>
        <w:t>Definitive Rechtsöffnung | Schuldbetreibungs- und Konkursrecht</w:t>
      </w:r>
    </w:p>
    <w:p>
      <w:pPr>
        <w:pStyle w:val="Heading2"/>
      </w:pPr>
      <w:r>
        <w:t>Volltext</w:t>
      </w:r>
    </w:p>
    <w:p>
      <w:r>
        <w:t>Bundesgericht II. Zivilrechtliche Abteilung 08.06.2012 5D 95/2012 (5D_95/2012) Tribunal fédéral IIe Cour de droit civil 08.06.2012 5D 95/2012 (5D_95/2012) Tribunale federale II Corte di diritto civile 08.06.2012 5D 95/2012 (5D_95/2012)</w:t>
      </w:r>
    </w:p>
    <w:p>
      <w:r>
        <w:t>Definitive Rechtsöffnung | Schuldbetreibungs- und Konkursrecht</w:t>
      </w:r>
    </w:p>
    <w:p>
      <w:r>
        <w:t>Bundesgericht Tribunal fédéral Tribunale federale Tribunal federal {T 0/2} 5D_95/2012 Urteil vom 8. Juni 2012 II. zivilrechtliche Abteilung Besetzung Bundesrichterin Escher, präsidierendes Mitglied, Gerichtsschreiber Füllemann. Verfahrensbeteiligte X.________, Beschwerdeführerin, gegen Y.________, vertreten durch Rechtsanwalt Linus Schweizer, Beschwerdegegner. Gegenstand Definitive Rechtsöffnung, Verfassungsbeschwerde gegen den Entscheid vom 17. April 2012 des Obergerichts des Kantons Aargau (Zivilgericht, 3. Kammer). Nach Einsicht in die Verfassungsbeschwerde gegen den Entscheid vom 17. April 2012 des Obergerichts des Kantons Aargau, das eine Beschwerde der Beschwerdeführerin gegen die erstinstanzliche Abweisung ihres Gesuchs um Erteilung der definitiven Rechtsöffnung gegenüber dem Beschwerdegegner für Fr. 19'400.99 (nebst Zins und Kosten) abgewiesen hat, in das sinngemässe Gesuch um unentgeltliche Rechtspflege auch für das bundesgerichtliche Verfahren, in Erwägung, dass gegen den in einer vermögensrechtlichen Angelegenheit ergangenen Entscheid des Obergerichts mangels Erreichens der Streitwertgrenze ( Art. 74 Abs. 1 lit. b BGG ) und (entgegen der Auffassung der Bescherdeführerin) mangels Darlegung und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17. April 2012 erwog, neue Anträge, Tatsachenbehauptungen und Beweismittel seien im Beschwerdeverfahren zum Vornherein ausgeschlossen, sei sodann eine Zinsforderung im Rechtsöffnungstitel selbst nicht ausgewiesen, so liege dafür nach herrschender Auffassung auch kein Rechtsöffnungstitel vor, für Zinsforderungen werde nur Rechtsöffnung erteilt, wenn der Verzugszins gleichzeitig mit der Hauptforderung geltend gemacht werde und es sich dabei um einen geringfügigen, leicht feststellbaren und liquiden Betrag handle, im vorliegenden Fall verlange die Beschwerdeführerin Rechtsöffnung für Verzugszinse aus Forderungen gemäss zwei deutschen Urteilen, die unabhängig von den Hauptforderungen geltend gemachten Zinsen seien in diesen Urteilen jedoch nicht ausgewiesen, weshalb mangels eines definitiven Rechtsöffnungstitels keine Rechtsöffnung gewährt werden könne, ausserdem fehle es auch an der zweiten Voraussetzung, bei der Verzugszinsforderung handle es sich nämlich nicht um einen geringfügigen, leicht feststellbaren und liquiden Betrag, dass die Beschwerdeführerin in ihrer Eingabe an das Bundesgericht (ungeachtet ihres pauschalen Willkürvorwurfs) nicht rechtsgenüglich auf die entscheidenden obergerichtlichen Erwägungen eingeht, obgleich sie bereits im bundesgerichtlichen Urteil 5D_101/2010 vom 23. September 2010 einlässlich auf die erwähnten Begründungsanforderungen aufmerksam gemacht worden ist, dass die Beschwerdeführerin erst recht nicht nach den gesetzlichen Anforderungen, d.h. klar und detailliert anhand der entscheidenden obergerichtlichen Erwägungen darlegt, welche verfassungsmässigen Rechte und inwiefern sie durch den Entscheid des Obergerichts vom 17. April 2012 verletzt sein sollen, dass somit auf die - offensichtlich keine hinreichende Begründung enthaltende - Verfassungsbeschwerde in Anwendung von Art. 117 i.V.m. Art 108 Abs. 1 lit. b BGG nicht einzutreten ist, dass der Beschwerdeführerin in Anbetracht der Aussichtslosigkeit der Verfassungsbeschwerde die unentgeltliche Rechtspflege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500.-- werden der Beschwerdeführerin auferlegt. 4. Dieses Urteil wird den Parteien (der Beschwerdeführerin auf dem Weg der internationalen Rechtshilfe) und dem Obergericht des Kantons Aargau schriftlich mitgeteilt. Lausanne, 8. Juni 2012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