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5D_94/2018 vom 29. Januar 2019</w:t>
      </w:r>
    </w:p>
    <w:p>
      <w:r>
        <w:t>Bundesgericht, 2019-01-29, DE</w:t>
      </w:r>
    </w:p>
    <w:p>
      <w:r>
        <w:rPr>
          <w:b/>
        </w:rPr>
        <w:t xml:space="preserve">Quelle: </w:t>
      </w:r>
      <w:r>
        <w:t>https://mcp.opencaselaw.ch/entscheid/bger_5D_94_2018</w:t>
      </w:r>
    </w:p>
    <w:p>
      <w:r>
        <w:t>FR: TF 5D_94/2018 du 29 janvier 2019</w:t>
      </w:r>
    </w:p>
    <w:p>
      <w:r>
        <w:t>IT: TF 5D_94/2018 del 29 gennaio 2019</w:t>
      </w:r>
    </w:p>
    <w:p>
      <w:pPr>
        <w:pStyle w:val="Heading2"/>
      </w:pPr>
      <w:r>
        <w:t>Erwägungen</w:t>
      </w:r>
    </w:p>
    <w:p>
      <w:r>
        <w:rPr>
          <w:b/>
        </w:rPr>
        <w:t>E. 1.1</w:t>
      </w:r>
    </w:p>
    <w:p>
      <w:r>
        <w:t>Die Beschwerde richtet sich gegen den Endentscheid einer letzten kantonalen Instanz, die als oberes Gericht über die Rechtsöffnung entschieden hat ( Art. 72 Abs. 2 lit. a, Art. 75 und Art. 90 BGG ). Der Streitwert erreicht den gesetzlichen Mindestbetrag von Fr. 30'000.-- ( Art. 74 Abs. 1 lit. b BGG ) nicht. Dass dessen ungeachtet die Beschwerde in Zivilsachen zulässig sei, weil sich eine Rechtsfrage von grundsätzlicher Bedeutung stellt, wird in der Beschwerdeschrift weder behauptet noch begründet (Art. 74 Abs. 2 lit. a i.V.m. Art. 42 Abs. 2 BGG ; BGE 133 III 439 E. 2.2.2.1 S. 442). Ist die Beschwerde in Zivilsachen unzulässig, kann die Eingabe als Verfassungsbeschwerde entgegengenommen werden, soweit deren Sachurteilsvoraussetzungen erfüllt sind ( Art. 113 ff. BGG ; BGE 133 II 396 E. 3.1 S. 399).</w:t>
      </w:r>
    </w:p>
    <w:p>
      <w:r>
        <w:rPr>
          <w:b/>
        </w:rPr>
        <w:t>E. 1.2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BGE 140 III 571 E. 1.5 S. 576).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S. 368).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t>Diesen formellen Anforderungen genügt die Beschwerdeschrift, in welcher sich der Beschwerdeführer auch bloss sinngemäss an keiner Stelle über die Verletzung eines verfassungsmässigen Rechts beschwert, nicht. Der Beschwerdeführer beschränkt sich vielmehr darauf, eine Verletzung von Bundesrecht so zu begründen, wie es in einem appellatorischen Verfahren, wo dem Gericht freie Prüfungsbefugnis zusteht, genügte, nicht hingegen in einem auf die Beurteilung von Verfassungs-, insbesondere Willkürrügen beschränkten Verfahren ( BGE 134 II 349 E. 3 S. 352).</w:t>
      </w:r>
    </w:p>
    <w:p>
      <w:r>
        <w:rPr>
          <w:b/>
        </w:rPr>
        <w:t>E. 2</w:t>
      </w:r>
    </w:p>
    <w:p>
      <w:r>
        <w:t>Auf die Eingabe vom 23. Mai 2018 kann nach dem Gesagten nicht eingetreten werden. Bei diesem Verfahrensausgang sind die Gerichtskosten dem Beschwerdeführer aufzuerlegen ( Art. 66 Abs. 1 BGG ). Eine Parteientschädigung ist nicht geschuldet,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