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5D_94/2009 vom 16. September 2009</w:t>
      </w:r>
    </w:p>
    <w:p>
      <w:r>
        <w:t>Bundesgericht, 2009-09-16, FR</w:t>
      </w:r>
    </w:p>
    <w:p>
      <w:r>
        <w:rPr>
          <w:b/>
        </w:rPr>
        <w:t xml:space="preserve">Quelle: </w:t>
      </w:r>
      <w:r>
        <w:t>https://mcp.opencaselaw.ch/entscheid/bger_5D_94_2009</w:t>
      </w:r>
    </w:p>
    <w:p>
      <w:r>
        <w:t>FR: TF 5D_94/2009 du 16 septembre 2009</w:t>
      </w:r>
    </w:p>
    <w:p>
      <w:r>
        <w:t>IT: TF 5D_94/2009 del 16 settembre 2009</w:t>
      </w:r>
    </w:p>
    <w:p>
      <w:pPr>
        <w:pStyle w:val="Heading2"/>
      </w:pPr>
      <w:r>
        <w:t>Erwägungen</w:t>
      </w:r>
    </w:p>
    <w:p>
      <w:r>
        <w:rPr>
          <w:b/>
        </w:rPr>
        <w:t>E. 1</w:t>
      </w:r>
    </w:p>
    <w:p>
      <w:r>
        <w:t>La décision de mesures provisoires prise sur la base de l' art. 137 al. 2 CC est une décision en matière civile au sens de l' art. 72 al. 1 LTF . Bien que provisoire et sans effet sur le fond, elle est finale au sens de l' art. 90 LTF , dès lors que son objet est différent de celui de la procédure au fond et qu'elle met fin à l'instance sous l'angle procédural ( ATF 134 III 426 consid. 2.2 et les arrêts cités). La décision attaquée a été rendue par une autorité de dernière instance cantonale ( art. 75 al. 1 LTF ), dans une affaire pécuniaire dont la valeur litigieuse nécessaire de 30'000 fr. est atteinte ( art. 51 al. 1 let. a et al. 4 LTF , art. 74 al. 1 let. b LTF ).</w:t>
      </w:r>
    </w:p>
    <w:p>
      <w:r>
        <w:t>La voie du recours en matière civile étant ouverte, celle du recours constitutionnel subsidiaire choisie par la recourante ne l'est pas ( art. 113 LTF ). L'intitulé erroné d'un recours ne doit toutefois pas nuire à son auteur si les conditions de recevabilité du recours qui aurait dû être interjeté sont réunies ( ATF 134 III 379 consid. 1.2 p. 382 et les arrêts cités). En l'espèce, il est possible de convertir le recours, car le grief d'arbitraire, soulevé par la recourante de façon conforme aux exigences des art. 42 al. 2 et 106 al. 2 LTF, peut être invoqué de la même manière dans un recours en matière civile de l' art. 98 LTF ( ATF 133 III 446 consid. 3.1, 462 consid. 2.3).</w:t>
      </w:r>
    </w:p>
    <w:p>
      <w:r>
        <w:t>Déposé dans le délai légal ( art. 100 al. 1 LTF ), le recours est donc en principe recevable.</w:t>
      </w:r>
    </w:p>
    <w:p>
      <w:r>
        <w:rPr>
          <w:b/>
        </w:rPr>
        <w:t>E. 2.1</w:t>
      </w:r>
    </w:p>
    <w:p>
      <w:r>
        <w:t>En ce qui concerne les faits relatifs au concubinage, le juge cantonal a rejeté le pourvoi de la recourante au terme d'une double motivation: la première - principale - repose sur l'irrecevabilité du grief d'appréciation arbitraire desdits faits; la seconde - subsidiaire - a trait au caractère mal fondé de ce grief. Lorsque la décision attaquée se fonde, comme en l'espèce, sur plusieurs motivations indépendantes, alternatives ou subsidiaires, toutes suffisantes, le recourant doit, sous peine d'irrecevabilité, démontrer que chacune d'entre elles est contraire au droit ( ATF 133 IV 119 consid. 6.3 p. 120). Dans la mesure où la recourante discute uniquement du fondement de son grief sans s'en prendre aux motifs d'irrecevabilité, suffisants en soi, avancés par l'autorité cantonale, l'exigence précitée n'est pas respectée et le recours doit être déclaré irrecevable dans cette mesure.</w:t>
      </w:r>
    </w:p>
    <w:p>
      <w:r>
        <w:rPr>
          <w:b/>
        </w:rPr>
        <w:t>E. 2.2</w:t>
      </w:r>
    </w:p>
    <w:p>
      <w:r>
        <w:t>En vertu d'une jurisprudence constante, lorsqu'il s'agit de fixer la contribution à l'entretien durant les mesures provisoires de l' art. 137 CC , il convient de prendre en considération le fait que le conjoint vit en communauté avec une autre personne et que, dans ces circonstances, il n'est pas arbitraire de considérer que son compagnon pourrait participer pour moitié aux frais communs, même si sa participation effective est moindre. A cet égard, la durée du concubinage n'est pas déterminante; sont au contraire pertinents les avantages économiques retirés de la relation. Il importe, autrement dit, que les intéressés forment une communauté de toit et de table ayant pour but de partager les frais et les dépenses (arrêts 5A_625/2007 du 26 mars 2008 consid. 2.3, 5P.463/2003 du 20 février 2004 consid. 3.2, 5P.90/2002 du 1er juillet 2002 consid. 2b aa, publié in : FamPra 2002 p. 813).</w:t>
      </w:r>
    </w:p>
    <w:p>
      <w:r>
        <w:t>Partant de cette conception juridique des effets du concubinage en matière de mesures provisoires, le juge cantonal a confirmé le rejet des prétentions en entretien de la recourante après avoir constaté, ainsi que cette dernière l'avait elle-même relevé, qu'elle faisait ménage commun avec son ami depuis plus de deux ans, qu'ils se partageaient les frais du ménage et qu'elle ne supportait, notamment, que le quart du loyer (346 fr. sur 1'350 fr.). Cette décision, prise en conformité de la jurisprudence susmentionnée, ne saurait être taxée d'arbitraire. La recourante n'en fait en tout cas pas la démonstration.</w:t>
      </w:r>
    </w:p>
    <w:p>
      <w:r>
        <w:t>La question qu'elle soulève de savoir s'il n'eût pas été préférable, dans le cas particulier, d'ordonner une suspension plutôt qu'une suppression de la contribution d'entretien, comme le texte actuel de l' art. 129 al. 1 CC permet de l'envisager (cf. RVJ 2006 p. 240 ss consid. 8), est dénuée de pertinence, dès lors qu'une décision prise sur la base de l' art. 137 al. 2 CC , dont les effets sont par définition provisoires, peut de toute façon être modifiée si les circonstances de fait ont changé d'une manière essentielle et durable, ou si le juge, lorsqu'il a ordonné les mesures provisoires dont la modification est sollicitée, s'est fondé sur des circonstances de fait erronées (URS GLOOR, Commentaire bâlois, 3e éd., 2006, n. 15 ad art. 137 CC ; Marcel Leuenberger, FamKommentar Scheidungsrecht, 006, éd., 2005, n. 15 ad art. 137 CC ).</w:t>
      </w:r>
    </w:p>
    <w:p>
      <w:r>
        <w:rPr>
          <w:b/>
        </w:rPr>
        <w:t>E. 2.3</w:t>
      </w:r>
    </w:p>
    <w:p>
      <w:r>
        <w:t>Il résulte de ce qui précède que le recours doit être rejeté dans la mesure de sa recevabilité.</w:t>
      </w:r>
    </w:p>
    <w:p>
      <w:r>
        <w:rPr>
          <w:b/>
        </w:rPr>
        <w:t>E. 3</w:t>
      </w:r>
    </w:p>
    <w:p>
      <w:r>
        <w:t>En instance fédérale aussi, l'échec prévisible des conclusions de la recourante commande le rejet de sa requête d'assistance judiciaire ( art. 64 al. 1 LTF ) et sa condamnation aux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