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92/2021 vom 7. Mai 2021</w:t>
      </w:r>
    </w:p>
    <w:p>
      <w:r>
        <w:t>Bundesgericht, 2021-05-07, DE</w:t>
      </w:r>
    </w:p>
    <w:p>
      <w:r>
        <w:rPr>
          <w:b/>
        </w:rPr>
        <w:t xml:space="preserve">Quelle: </w:t>
      </w:r>
      <w:r>
        <w:t>https://mcp.opencaselaw.ch/entscheid/bger_5D_92_2021</w:t>
      </w:r>
    </w:p>
    <w:p>
      <w:r>
        <w:t>FR: TF 5D 92/2021 du 7 mai 2021</w:t>
      </w:r>
    </w:p>
    <w:p>
      <w:r>
        <w:t>IT: TF 5D 92/2021 del 7 maggio 2021</w:t>
      </w:r>
    </w:p>
    <w:p>
      <w:pPr>
        <w:pStyle w:val="Heading2"/>
      </w:pPr>
      <w:r>
        <w:t>Regeste</w:t>
      </w:r>
    </w:p>
    <w:p>
      <w:r>
        <w:t>Errichtung Beistandschaft | Familienrecht</w:t>
      </w:r>
    </w:p>
    <w:p>
      <w:pPr>
        <w:pStyle w:val="Heading2"/>
      </w:pPr>
      <w:r>
        <w:t>Erwägungen</w:t>
      </w:r>
    </w:p>
    <w:p>
      <w:r>
        <w:rPr>
          <w:b/>
        </w:rPr>
        <w:t>E. 1</w:t>
      </w:r>
    </w:p>
    <w:p>
      <w:r>
        <w:t>Anfechtungsgegenstand bildet ein kantonal letztinstanzliches Urteil über die Frage der Legitimation der Mutter im kantonalen Beschwerdeverfahren; dagegen steht die Beschwerde in Zivilsachen offen (Art. 72 Abs. 2 lit. b Ziff. 6 und Art. 75 Abs. 1 BGG ). Weil die subsidiäre Verfassungsbeschwerde, wie es schon ihr Name sagt, subsidiär zum Hauptrechtsmittel ist, wird die Eingabe als Beschwerde in Zivilsachen entgegengenommen.</w:t>
      </w:r>
    </w:p>
    <w:p>
      <w:r>
        <w:rPr>
          <w:b/>
        </w:rPr>
        <w:t>E. 2</w:t>
      </w:r>
    </w:p>
    <w:p>
      <w:r>
        <w:t>Der Hinschied von C.________ macht das Beschwerdeverfahren vor Bundesgericht in der Sache selbst gegenstandslos, denn an der Klärung der Legitimationsfrage besteht kein schützenswertes Interesse mehr ( Art. 76 Abs. 1 lit. b BGG ), weil hierfür nicht auf den Zeitpunkt der Einreichung der Beschwerde, sondern auf den Urteilszeitpunkt abzustellen ist ( BGE 131 I 153 E. 1.2 S. 157; 140 III 92 E. 2.1 und 2.2 S. 95; 143 III 578 E. 3.2.2.2 S. 587).</w:t>
      </w:r>
    </w:p>
    <w:p>
      <w:r>
        <w:rPr>
          <w:b/>
        </w:rPr>
        <w:t>E. 3</w:t>
      </w:r>
    </w:p>
    <w:p>
      <w:r>
        <w:t>Fortbestehen könnte das Interesse noch in Bezug auf die vom Obergericht auferlegten Verfahrenskosten. Dieser Kostenentscheid ist zwar in der Beschwerde nicht eigens erwähnt, dürfte aber sinngemäss mitangefochten sein. Vor diesem Hintergrund ist eben doch in der gebotenen Kürze über den hypothetischen Ausgang des vorliegenden Beschwerdeverfahrens zu befinden. Der Beschwerde hätte kein Erfolg beschieden sein können, weil die behauptete Gehörsverletzung nicht ersichtlich ist, hat sich doch das Obergericht mit allen relevanten Vorbringen und Aspekten auseinandergesetzt, und weil im Übrigen die in Kopie eingereichte Vollmacht vom 4. April 2021 ein echtes Novum darstellt, welches im bundesgerichtlichen Verfahren von vornherein unzulässig ist ( BGE 139 III 120 E. 3.1.2 S. 123; 143 V 19 E. 1.2 S. 23; 144 V 35 E. 5.2.4 S. 39). Hätte mithin der Beschwerde in der Sache selbst kein Erfolg beschieden sein können, so muss sie angesichts des Ausgangs des obergerichtlichen Verfahrens in Bezug auf die obergerichtliche Kostenauflage abgewiesen werden.</w:t>
      </w:r>
    </w:p>
    <w:p>
      <w:r>
        <w:rPr>
          <w:b/>
        </w:rPr>
        <w:t>E. 4</w:t>
      </w:r>
    </w:p>
    <w:p>
      <w:r>
        <w:t>Angesichts der konkreten Umstände werden keine Gerichtskosten erhoben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