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5D_92/2019 vom 18. April 2019</w:t>
      </w:r>
    </w:p>
    <w:p>
      <w:r>
        <w:t>Bundesgericht, 2019-04-18, DE</w:t>
      </w:r>
    </w:p>
    <w:p>
      <w:r>
        <w:rPr>
          <w:b/>
        </w:rPr>
        <w:t xml:space="preserve">Quelle: </w:t>
      </w:r>
      <w:r>
        <w:t>https://mcp.opencaselaw.ch/entscheid/bger_5D_92_2019</w:t>
      </w:r>
    </w:p>
    <w:p>
      <w:r>
        <w:t>FR: TF 5D_92/2019 du 18 avril 2019</w:t>
      </w:r>
    </w:p>
    <w:p>
      <w:r>
        <w:t>IT: TF 5D_92/2019 del 18 aprile 2019</w:t>
      </w:r>
    </w:p>
    <w:p>
      <w:pPr>
        <w:pStyle w:val="Heading2"/>
      </w:pPr>
      <w:r>
        <w:t>Erwägungen</w:t>
      </w:r>
    </w:p>
    <w:p>
      <w:r>
        <w:rPr>
          <w:b/>
        </w:rPr>
        <w:t>E. 1</w:t>
      </w:r>
    </w:p>
    <w:p>
      <w:r>
        <w:t>Das Bezirksgericht March erteilte mit Verfügung vom 14. Februar 2019 dem Beschwerdegegner gegenüber dem Beschwerdeführer in der Betreibung Nr. xxx des Betreibungskreises Altendorf-Lachen definitive Rechtsöffnung für Fr. 2'164.30 nebst Zins.</w:t>
      </w:r>
    </w:p>
    <w:p>
      <w:r>
        <w:t>Dagegen erhob der Beschwerdeführer am 1. März 2019 Beschwerde an das Kantonsgericht Schwyz. Mit Verfügung vom 15. März 2019 trat das Kantonsgericht auf die Beschwerde nicht ein.</w:t>
      </w:r>
    </w:p>
    <w:p>
      <w:r>
        <w:t>Gegen diese Verfügung hat der Beschwerdeführer am 10. April 2019 Verfassungsbeschwerde an das Bundesgericht erhoben.</w:t>
      </w:r>
    </w:p>
    <w:p>
      <w:r>
        <w:rPr>
          <w:b/>
        </w:rPr>
        <w:t>E. 2</w:t>
      </w:r>
    </w:p>
    <w:p>
      <w:r>
        <w:t>Aufgrund des tiefen Streitwerts ( Art. 74 Abs. 1 lit. b BGG ) und mangels Vorliegens einer Rechtsfrage von grundsätzlicher Bedeutung ( Art. 74 Abs. 2 lit. a BGG ) ist die subsidiäre Verfassungsbeschwerde das zutreffende Rechtsmittel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dass der Beschwerdeführer in der Beschwerde vom 1. März 2019 weder Rechtsbegehren stellte noch sich im Einzelnen mit der Begründung des bezirksgerichtlichen Entscheids auseinandersetzte noch durch Urkunden bewies, dass die Schuld getilgt, gestundet oder verjährt ist. Ihm sei am 5. März 2019 Gelegenheit zur Verbesserung innert der Beschwerdefrist gegeben worden, doch erfülle die weitere Eingabe vom 7. März 2019 die Anforderungen an eine rechtsgenügliche Beschwerde genauso wenig. Auch die nach nochmaligem Hinweis auf die Verbesserungsmöglichkeit eingereichte Eingabe genüge den Anforderungen offensichtlich nicht.</w:t>
      </w:r>
    </w:p>
    <w:p>
      <w:r>
        <w:t>Der Beschwerdeführer setzt sich mit diesen Erwägungen nicht auseinander und er zeigt nicht ansatzweise auf, inwiefern verfassungsmässige Rechte verletzt worden sein sollen. Soweit nachvollziehbar, äussert er sich zu einer Bausache und macht geltend, keine Strafe oder Busse erhalten zu haben. Falls er damit das Vorliegen eines Rechtsöffnungstitels bestreiten möchte, so hätte er dies vor den Vorinstanzen tun müssen.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