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5D_92/2016 vom 24. Mai 2016</w:t>
      </w:r>
    </w:p>
    <w:p>
      <w:r>
        <w:t>Bundesgericht, 2016-05-24, DE</w:t>
      </w:r>
    </w:p>
    <w:p>
      <w:r>
        <w:rPr>
          <w:b/>
        </w:rPr>
        <w:t xml:space="preserve">Quelle: </w:t>
      </w:r>
      <w:r>
        <w:t>https://mcp.opencaselaw.ch/entscheid/bger_5D_92_2016</w:t>
      </w:r>
    </w:p>
    <w:p>
      <w:r>
        <w:t>FR: TF 5D_92/2016 du 24 mai 2016</w:t>
      </w:r>
    </w:p>
    <w:p>
      <w:r>
        <w:t>IT: TF 5D_92/2016 del 24 maggio 2016</w:t>
      </w:r>
    </w:p>
    <w:p>
      <w:pPr>
        <w:pStyle w:val="Heading2"/>
      </w:pPr>
      <w:r>
        <w:t>Volltext</w:t>
      </w:r>
    </w:p>
    <w:p>
      <w:r>
        <w:t>Bundesgericht</w:t>
      </w:r>
    </w:p>
    <w:p>
      <w:r>
        <w:t>Tribunal fédéral</w:t>
      </w:r>
    </w:p>
    <w:p>
      <w:r>
        <w:t>Tribunale federale</w:t>
      </w:r>
    </w:p>
    <w:p>
      <w:r>
        <w:t>Tribunal federal</w:t>
      </w:r>
    </w:p>
    <w:p>
      <w:r>
        <w:t>{T 0/2}</w:t>
      </w:r>
    </w:p>
    <w:p>
      <w:r>
        <w:t>5D_92/2016</w:t>
      </w:r>
    </w:p>
    <w:p>
      <w:r>
        <w:t>Urteil vom 24. Mai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Staat Solothurn,</w:t>
      </w:r>
    </w:p>
    <w:p>
      <w:r>
        <w:t>Beschwerdegegner.</w:t>
      </w:r>
    </w:p>
    <w:p>
      <w:r>
        <w:t>Gegenstand</w:t>
      </w:r>
    </w:p>
    <w:p>
      <w:r>
        <w:t>Definitive Rechtsöffnung,</w:t>
      </w:r>
    </w:p>
    <w:p>
      <w:r>
        <w:t>Verfassungsbeschwerde gegen den Entscheid vom 27. April 2016 des Obergerichts des Kantons Bern (2. Zivilkammer).</w:t>
      </w:r>
    </w:p>
    <w:p>
      <w:r>
        <w:t>Nach Einsicht</w:t>
      </w:r>
    </w:p>
    <w:p>
      <w:r>
        <w:t>in die (vom Obergericht des Kantons Bern zuständigkeitshalber dem Bundesgericht übermittelte und von diesem als Verfassungsbeschwerde behandelte) Eingabe des Beschwerdeführers gegen den Entscheid vom 27. April 2016 des Obergerichts des Kantons Bern, das eine Beschwerde des Beschwerdeführers gegen die erstinstanzliche Erteilung der definitiven Rechtsöffnung an den Beschwerdegegner für Fr. 6'000.-- nebst Zins und Kosten abgewiesen hat, soweit es darauf eingetreten ist,</w:t>
      </w:r>
    </w:p>
    <w:p>
      <w:r>
        <w:t>in das Gesuch des Beschwerdeführers um aufschiebende Wirkung,</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27. April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27. April 2016 erwog, der Beschwerdeführer habe an seinem gemeldeten Wohnsitz in U.________ betrieben werden können, die Betreibungsforderung beruhe auf einem rechtskräftigen und vollstreckbaren Entscheid des Richteramts Bucheggberg-Wasseramt, zulässige Einwendungen nach Art. 81 Abs. 1 SchKG erhebe der Beschwerdeführer keine, der materielle Bestand der Betreibungsforderung sei im Rechtsöffnungsverfahren nicht zu überprüfen, auf die Durchführung einer Parteiverhandlung mit Zeugeneinvernahme habe verzichtet werden dürfen ( Art. 256 Abs. 1 ZPO i.V.m. Art. 84 Abs. 2 SchKG ), nachdem der Beschwerdeführer seinen Gehörsanspruch durch Einreichung einer schriftlichen Stellungnahme habe wahren können, die Begehren auf Wiedergutmachung und Genugtuung gingen über den Gegenstand des Rechtsöffnungsverfahrens hinaus,</w:t>
      </w:r>
    </w:p>
    <w:p>
      <w:r>
        <w:t>dass der Beschwerdeführer in seiner dem Bundesgericht übermittelten Eingabe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27. April 2016 verletzt sein sollen,</w:t>
      </w:r>
    </w:p>
    <w:p>
      <w:r>
        <w:t>dass der Beschwerdeführer ausserdem missbräuchlich prozessiert ( Art. 42 Abs. 7 BGG ) und die Verfassungsbeschwerde auch aus diesem Grund unzulässig ist,</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des Beschwerdeführers um aufschiebende Wirkung gegenstandslos wird,</w:t>
      </w:r>
    </w:p>
    <w:p>
      <w:r>
        <w:t>dass ausnahmsweise von der Erhebung von Gerichtskosten abzusehen ist,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Es werden keine Gerichtskosten erhoben.</w:t>
      </w:r>
    </w:p>
    <w:p>
      <w:r>
        <w:t>3.</w:t>
      </w:r>
    </w:p>
    <w:p>
      <w:r>
        <w:t>Dieses Urteil wird den Parteien und dem Obergericht des Kantons Bern schriftlich mitgeteilt.</w:t>
      </w:r>
    </w:p>
    <w:p>
      <w:r>
        <w:t>Lausanne, 24. Mai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