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91/2023 vom 30. Mai 2023</w:t>
      </w:r>
    </w:p>
    <w:p>
      <w:r>
        <w:t>Bundesgericht, 2023-05-30, DE</w:t>
      </w:r>
    </w:p>
    <w:p>
      <w:r>
        <w:rPr>
          <w:b/>
        </w:rPr>
        <w:t xml:space="preserve">Quelle: </w:t>
      </w:r>
      <w:r>
        <w:t>https://mcp.opencaselaw.ch/entscheid/bger_5D_91_2023</w:t>
      </w:r>
    </w:p>
    <w:p>
      <w:r>
        <w:t>FR: TF 5D 91/2023 du 30 mai 2023</w:t>
      </w:r>
    </w:p>
    <w:p>
      <w:r>
        <w:t>IT: TF 5D 91/2023 del 30 maggio 2023</w:t>
      </w:r>
    </w:p>
    <w:p>
      <w:pPr>
        <w:pStyle w:val="Heading2"/>
      </w:pPr>
      <w:r>
        <w:t>Regeste</w:t>
      </w:r>
    </w:p>
    <w:p>
      <w:r>
        <w:t>Kostenerlass | Sachenrecht</w:t>
      </w:r>
    </w:p>
    <w:p>
      <w:pPr>
        <w:pStyle w:val="Heading2"/>
      </w:pPr>
      <w:r>
        <w:t>Erwägungen</w:t>
      </w:r>
    </w:p>
    <w:p>
      <w:r>
        <w:rPr>
          <w:b/>
        </w:rPr>
        <w:t>E. 1</w:t>
      </w:r>
    </w:p>
    <w:p>
      <w:r>
        <w:t>Das Erlassgesuch betrifft Kosten aus Verfahren verschiedener Rechtsbereiche. Indes ist die beim Bundesgericht eingereichte Beschwerde von einer einzigen Abteilung zu beurteilen. Die Beurteilung durch die II. zivilrechtliche Abteilung erscheint zweckmässig, weil die Kosten u.a. aus dem Scheidungs- bzw. Besuchsrechtsverfahren herrühren und der angefochtene Entscheid namentlich Art. 123 ZPO thematisiert. Weil aber auch Kosten aus strafrechtlichen Verfahren betroffen sind, ist auf den nur für Zivilverfahren geltenden Mindeststreitwert von Fr. 30'000.-- gemäss Art. 74 Abs. 1 lit. b BGG zu verzichten, damit dem Beschwerdeführer kognitionsmässig keine Nachteile erwachsen.</w:t>
      </w:r>
    </w:p>
    <w:p>
      <w:r>
        <w:rPr>
          <w:b/>
        </w:rPr>
        <w:t>E. 2</w:t>
      </w:r>
    </w:p>
    <w:p>
      <w:r>
        <w:t>Soweit auch der Erlass von Kosten aus früheren bundesgerichtlichen Verfahren gefordert wird, handelt es sich um neue und damit unzulässige Begehren ( Art. 99 Abs. 1 BGG ); im Verlauf des Rechtsmittelzuges kann der Anfechtungsgegenstand nicht ausgedehnt werden.</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4</w:t>
      </w:r>
    </w:p>
    <w:p>
      <w:r>
        <w:t>Die Beschwerde lässt eine sachgerichtete Auseinandersetzung mit den ausführlichen Erwägungen des angefochtenen Entscheides durchwegs vermissen. Der Beschwerdeführer beschränkt sich auf allgemeine Polemik und wirft den Gerichten vor, durch Filz, Willkür, Korruption und Amtsmissbrauch die "Bundesfairfassung" zu verletzen, indem seine leicht ersichtlichen Beweise auch noch mit Bussgeldern (gemeint: Verfahrenskosten) belegt worden seien, damit er aufhöre, die Korruption bei Schweizer Gerichten anzuprangern. Damit (und mit den weiteren, nichts zum Anfechtungsgegenstand beitragenden Ausführungen) ist keine Rechtsverletzung darzutun.</w:t>
      </w:r>
    </w:p>
    <w:p>
      <w:r>
        <w:rPr>
          <w:b/>
        </w:rPr>
        <w:t>E. 5</w:t>
      </w:r>
    </w:p>
    <w:p>
      <w:r>
        <w:t>Nach dem Gesagten erweist sich die Beschwerde als offensichtlich nicht hinreichend begründet, weshalb auf sie im vereinfachten Verfahren nach Art. 108 Abs. 1 lit. b BGG nicht einzutreten ist.</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