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5D_91/2019 vom 11. April 2019</w:t>
      </w:r>
    </w:p>
    <w:p>
      <w:r>
        <w:t>Bundesgericht, 2019-04-11, FR</w:t>
      </w:r>
    </w:p>
    <w:p>
      <w:r>
        <w:rPr>
          <w:b/>
        </w:rPr>
        <w:t xml:space="preserve">Quelle: </w:t>
      </w:r>
      <w:r>
        <w:t>https://mcp.opencaselaw.ch/entscheid/bger_5D_91_2019</w:t>
      </w:r>
    </w:p>
    <w:p>
      <w:r>
        <w:t>FR: TF 5D_91/2019 du 11 avril 2019</w:t>
      </w:r>
    </w:p>
    <w:p>
      <w:r>
        <w:t>IT: TF 5D_91/2019 del 11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28 mars 2019, la Chambre civile de la Cour de justice du canton de Genève a imparti à A.________, en vertu de l' art. 101 al. 3 CPC , un dernier délai au 30 avril 2019 pour verser une avance de frais de 400 fr. dans le cadre du recours formé contre une ordonnance prise le 5 décembre 2018 (</w:t>
      </w:r>
    </w:p>
    <w:p>
      <w:r>
        <w:t>n° DTPI/15041/2018 ).</w:t>
      </w:r>
    </w:p>
    <w:p>
      <w:r>
        <w:rPr>
          <w:b/>
        </w:rPr>
        <w:t>E. 2</w:t>
      </w:r>
    </w:p>
    <w:p>
      <w:r>
        <w:t>Par acte expédié le 9 avril 2019, A.________ exerce un recours au Tribunal fédéral contre la décision précitée.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écriture, traitée comme recours constitutionnel subsidiaire au sens des art. 113 ss LTF , est irrecevable à un double titre: D'une part, le recourant n'expose aucunement en quoi la décision attaquée serait de nature à lui causer un préjudice (juridique) irréparable ( art. 93 al. 1 let. a LTF , par renvoi de l' art. 117 LTF ; ATF 142 III 798 , avec les arrêts cités). D'autre part, il ne soulève aucune critique intelligible - de nature constitutionnelle ( art. 116 LTF ) - à l'encontre de cette décision, de sorte que son écriture ne satisfait en rien à l'exigence de motivation posée à l' art. 106 al. 2 LTF ( ATF 136 I 332 consid. 2.1).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 . aet bet art. 117 LTF ), aux frais de son auteur ( art. 66 al. 1 LTF ).</w:t>
      </w:r>
    </w:p>
    <w:p>
      <w:r>
        <w:t>Le recourant est expressément avisé que toute nouvelle écriture du même style - en particulier des demandes abusives de révision ou de récusation - sera désormais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