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5D_90/2017 vom 31. Mai 2017</w:t>
      </w:r>
    </w:p>
    <w:p>
      <w:r>
        <w:t>Bundesgericht, 2017-05-31, FR</w:t>
      </w:r>
    </w:p>
    <w:p>
      <w:r>
        <w:rPr>
          <w:b/>
        </w:rPr>
        <w:t xml:space="preserve">Quelle: </w:t>
      </w:r>
      <w:r>
        <w:t>https://mcp.opencaselaw.ch/entscheid/bger_5D_90_2017</w:t>
      </w:r>
    </w:p>
    <w:p>
      <w:r>
        <w:t>FR: TF 5D_90/2017 du 31 mai 2017</w:t>
      </w:r>
    </w:p>
    <w:p>
      <w:r>
        <w:t>IT: TF 5D_90/2017 del 31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7 avril 2017 (n</w:t>
      </w:r>
    </w:p>
    <w:p>
      <w:r>
        <w:t>os 102 2017 70 &amp; 71), la IIe Cour d'appel civil du Tribunal cantonal de l'État de Fribourg a rejeté le recours interjeté le 27 février 2017 par A.________ contre la décision rendue le 25 janvier 2017 par la Présidente du Tribunal civil de l'arrondissement de la Sarine prononçant la mainlevée définitive de l'opposition formée par A.________ au commandement de payer n° bbb notifié à l'instance du Ministère public de l'État de Fribourg, pour un montant de 150 fr., avec intérêts à 5% l'an dès le 3 septembre 2014.</w:t>
      </w:r>
    </w:p>
    <w:p>
      <w:r>
        <w:rPr>
          <w:b/>
        </w:rPr>
        <w:t>E. 2</w:t>
      </w:r>
    </w:p>
    <w:p>
      <w:r>
        <w:t>Par acte du 20 mai 2017, remis à la Poste suisse le 22 mai 2017, A.________ exerce un recours constitutionnel subsidiaire au Tribunal fédéral contre l'arrêt " n° 101 2017 70 du 7 avril 2017", comprenant une requête de huit mesures provisionnelles urgentes, dont l'effet suspensif au recours. Au fond, le recourant sollicite l'annulation de l'arrêt entrepris, le renvoi de la cause à l'autorité cantonale, et une indemnisation.</w:t>
      </w:r>
    </w:p>
    <w:p>
      <w:r>
        <w:t>Le présent recours est d'emblée irrecevable dans la mesure où il s'écarte de l'objet du litige tel qu'il est déterminé par l'arrêt déféré concernant le prononcé de la mainlevée définitive ( ATF 142 I 155 consid. 4.4.2 et la jurisprudence citée). Cela concerne l'entier du mémoire de recours de 13 pages, à l'exception d'une partie du § 4 au milieu de la page 7 et se terminant en haut de la page 8 dudit mémoire.</w:t>
      </w:r>
    </w:p>
    <w:p>
      <w:r>
        <w:t>Autant qu'elle concerne effectivement la problématique de la mainlevée définitive requise par le Ministère public, l'argumentation du recourant est toutefois également irrecevable. Le recourant soulève certes - parmi d'autres griefs de droit fédéral, singulièrement le CPC, d'emblée irrecevables dans le cadre d'un recours constitutionnel subsidiaire ( art. 116 LTF ) - deux griefs de nature constitutionnelle (art. 20 al. 1 et 30 al. 1 Cst.), mais n'explique pas, en détails et avec clarté et précision, en quoi le raisonnement de la décision cantonale querellée serait contraire à la Constitution ou à l'un de ses droits fondamentaux. Il s'ensuit que le mémoire de recours ne satisfait nullement aux exigences de motivation posées par les art. 106 al. 2 et 116 LTF , par renvoi de l' art. 117 LTF .</w:t>
      </w:r>
    </w:p>
    <w:p>
      <w:r>
        <w:t>De surcroît, le recours présente une fois de plus un caractère abusif au sens de l' art. 42 al. 7 LTF , de sorte qu'il doit également être déclaré irrecevable pour ce motif.</w:t>
      </w:r>
    </w:p>
    <w:p>
      <w:r>
        <w:t>En définitive, le recours doit être déclaré irrecevable selon la procédure simplifiée de l'art. 108 al. 1 let. a à c LTF, par renvoi de l' art. 117 LTF . L'issue du recours rend sans objet la requête de huit mesures provisionnelles du recourant, dont la demande d'effet suspensif.</w:t>
      </w:r>
    </w:p>
    <w:p>
      <w:r>
        <w:rPr>
          <w:b/>
        </w:rPr>
        <w:t>E. 3</w:t>
      </w:r>
    </w:p>
    <w:p>
      <w:r>
        <w:t>Les frais judiciaires, arrêtés à 700 fr., sont mis à la charge du recourant ( art. 66 al. 1 LTF ). Il ne lui est pas alloué d' " indemnisation ".</w:t>
      </w:r>
    </w:p>
    <w:p>
      <w:r>
        <w:t>Toute nouvelle écriture du même genre dans cette affaire, singulièrement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