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5D_8/2022 vom 4. März 2022</w:t>
      </w:r>
    </w:p>
    <w:p>
      <w:r>
        <w:t>Bundesgericht, 2022-03-04, FR</w:t>
      </w:r>
    </w:p>
    <w:p>
      <w:r>
        <w:rPr>
          <w:b/>
        </w:rPr>
        <w:t xml:space="preserve">Quelle: </w:t>
      </w:r>
      <w:r>
        <w:t>https://mcp.opencaselaw.ch/entscheid/bger_5D_8_2022</w:t>
      </w:r>
    </w:p>
    <w:p>
      <w:r>
        <w:t>FR: TF 5D_8/2022 du 4 mars 2022</w:t>
      </w:r>
    </w:p>
    <w:p>
      <w:r>
        <w:t>IT: TF 5D_8/2022 del 4 marzo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19 février 2021, B.________ Sàrl a fait notifier à A.________ Sàrl un commandement de payer les sommes de 1'386 fr. 35 (montant de la facture) et de 30 fr. ("</w:t>
      </w:r>
    </w:p>
    <w:p>
      <w:r>
        <w:t>frais de procédure "), qui a été frappé d'opposition totale (</w:t>
      </w:r>
    </w:p>
    <w:p>
      <w:r>
        <w:t>poursuite n° xxx'xxx de l'Office des poursuites et faillites du district de Sion ).</w:t>
      </w:r>
    </w:p>
    <w:p>
      <w:r>
        <w:t>Par prononcé du 6 mai 2021, la Juge suppléante IV du district de Sion a levé provisoirement l'opposition à concurrence de 1'386 fr. 35 et de 30 fr., aux frais de la poursuivie.</w:t>
      </w:r>
    </w:p>
    <w:p>
      <w:r>
        <w:t>Par décision du 16 décembre 2021, la Chambre civile (Juge unique) du Tribunal cantonal valaisan a rejeté le recours de la poursuivie.</w:t>
      </w:r>
    </w:p>
    <w:p>
      <w:r>
        <w:rPr>
          <w:b/>
        </w:rPr>
        <w:t>E. 2</w:t>
      </w:r>
    </w:p>
    <w:p>
      <w:r>
        <w:t>Par acte expédié le 15 janvier 2022, la poursuivie exerce un recours au Tribunal fédéral contre la décision cantonale.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Compte tenu de l'insuffisance de la valeur litigieuse et de l'absence de question juridique de principe (art. 74 al. 1 let. b et al. 2 let. a LTF), le présent recours est traité en tant que recours constitutionnel subsidiaire au sens des art. 113 ss LTF . Il apparaît superflu d'examiner les autres conditions de recevabilité, le procédé étant voué à l'échec.</w:t>
      </w:r>
    </w:p>
    <w:p>
      <w:r>
        <w:rPr>
          <w:b/>
        </w:rPr>
        <w:t>E. 4.1</w:t>
      </w:r>
    </w:p>
    <w:p>
      <w:r>
        <w:t>En l'espèce, le magistrat précédent a d'abord refusé l'audition de deux témoins proposés par la poursuivie: la procédure de recours est en principe écrite et se déroule sans débats, la juridiction supérieure statuant sur pièces ( art. 327 al. 2 CPC ); de surcroît, la procédure de mainlevée est, vu son caractère sommaire ( art. 251 let. a CPC ), une procédure essentiellement sur pièces ( art. 254 al. 1 CPC ); enfin, les moyens de preuve nouveaux sont prohibés ( art. 326 al. 1 CPC ).</w:t>
      </w:r>
    </w:p>
    <w:p>
      <w:r>
        <w:t>Après avoir rappelé - à la suite du premier juge - que le devis établi par la poursuivante et signé par la poursuivie valait reconnaissance de dette au sens de l' art. 82 LP , le magistrat précédent a ensuite retenu, en bref, que la poursuivie - qui n'était pas admise à faire entendre des témoins en instance de recours - n'avait pas démontré de constatation manifestement erronée des faits en relation avec la non-conformité des stores confectionnés; en outre, il a rejeté les griefs de falsification du titre et de défaut de pouvoir de représentation de la personne dont la signature aurait été imitée.</w:t>
      </w:r>
    </w:p>
    <w:p>
      <w:r>
        <w:rPr>
          <w:b/>
        </w:rPr>
        <w:t>E. 4.2</w:t>
      </w:r>
    </w:p>
    <w:p>
      <w:r>
        <w:t>La recourante ne soulève aucun grief de nature constitutionnelle à l'encontre des motifs du juge cantonal ( art. 116 LTF ); elle se plaint pour l'essentiel du refus d'entendre des "</w:t>
      </w:r>
    </w:p>
    <w:p>
      <w:r>
        <w:t>témoins essentiels ", mais n'expose pas en quoi un tel refus serait manifestement contraire aux dispositions qui régissent la procédure probatoire devant l'autorité supérieure ou à la nature de la procédure de mainlevée, principes sur lesquels repose la décision attaquée. Il s'ensuit que, faute d'être motivé conformément à l' art. 106 al. 2 LTF (par renvoi de l' art. 117 LTF ), le présent recours est irrecevable ( ATF 136 I 332 consid. 2.1).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et art. 117 LTF ), aux frais de la recourante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