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5D_88/2019 vom 15. April 2019</w:t>
      </w:r>
    </w:p>
    <w:p>
      <w:r>
        <w:t>Bundesgericht, 2019-04-15, DE</w:t>
      </w:r>
    </w:p>
    <w:p>
      <w:r>
        <w:rPr>
          <w:b/>
        </w:rPr>
        <w:t xml:space="preserve">Quelle: </w:t>
      </w:r>
      <w:r>
        <w:t>https://mcp.opencaselaw.ch/entscheid/bger_5D_88_2019</w:t>
      </w:r>
    </w:p>
    <w:p>
      <w:r>
        <w:t>FR: TF 5D_88/2019 du 15 avril 2019</w:t>
      </w:r>
    </w:p>
    <w:p>
      <w:r>
        <w:t>IT: TF 5D_88/2019 del 15 aprile 2019</w:t>
      </w:r>
    </w:p>
    <w:p>
      <w:pPr>
        <w:pStyle w:val="Heading2"/>
      </w:pPr>
      <w:r>
        <w:t>Erwägungen</w:t>
      </w:r>
    </w:p>
    <w:p>
      <w:r>
        <w:rPr>
          <w:b/>
        </w:rPr>
        <w:t>E. 1</w:t>
      </w:r>
    </w:p>
    <w:p>
      <w:r>
        <w:t>Mit Urteil vom 6. Februar 2019 erteilte das Bezirksgericht Dietikon der Beschwerdegegnerin gegenüber dem Beschwerdeführer in der Betreibung Nr. xxx des Betreibungsamtes C.________ definitive Rechtsöffnung für Fr. 2'920.-- nebst Zins und Fr. 15'700.-- nebst Zins.</w:t>
      </w:r>
    </w:p>
    <w:p>
      <w:r>
        <w:t>Dagegen erhob der Beschwerdeführer am 13. März 2019 Beschwerde an das Obergericht des Kantons Zürich. Mit Beschluss vom 22. März 2019 trat das Obergericht auf die Beschwerde infolge Fristversäumnisses nicht ein.</w:t>
      </w:r>
    </w:p>
    <w:p>
      <w:r>
        <w:t>Dagegen hat der Beschwerdeführer am 3. April 2019 (Postaufgabe) Beschwerde an das Verwaltungsgericht des Kantons Zürich erhoben. Das Verwaltungsgericht hat die Eingabe zuständigkeitshalber dem Bundesgericht übermittelt ( Art. 48 Abs. 3 BGG ).</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hält den Nichteintretensentscheid offenbar für willkürlich ( Art. 9 BV ). Er legt jedoch nicht im Einzelnen dar, inwiefern das Obergericht das Fristenrecht willkürlich angewandt oder anderweitig gegen verfassungsmässige Rechte verstossen haben soll. Soweit er behauptet, kein Urteil des Bezirksgerichts erhalten zu haben, übergeht er die obergerichtliche Erwägung, dass er das bezirksgerichtliche Urteil trotz Abholungseinladung nicht abgeholt hat, es ihm aber aufgrund von Art. 138 Abs. 3 lit. a ZPO (sog. Zustellfiktion) als zugestellt gilt, da er an der bezirksgerichtlichen Verhandlung teilgenommen hatte und deshalb mit Zustellungen rechnen musste. Gesuche um Wiederherstellung der Beschwerdefrist sind an das Obergericht zu richten. Da sich das Obergericht inhaltlich nicht mit der Rechtsöffnung befasst hat, kann dies auch das Bundesgericht nicht tun. Es ist deshalb nicht auf Ausführungen des Beschwerdeführers einzugehen, mit denen er sich - vor allem mit Vorwürfen strafbaren Verhaltens - unter anderem gegen das als Rechtsöffnungstitel dienende Urteil des Obergerichts vom 6. August 2018 wendet.</w:t>
      </w:r>
    </w:p>
    <w:p>
      <w:r>
        <w:t>Die Beschwerde enthält demnach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