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87/2020 vom 18. Mai 2020</w:t>
      </w:r>
    </w:p>
    <w:p>
      <w:r>
        <w:t>Bundesgericht, 2020-05-18, DE</w:t>
      </w:r>
    </w:p>
    <w:p>
      <w:r>
        <w:rPr>
          <w:b/>
        </w:rPr>
        <w:t xml:space="preserve">Quelle: </w:t>
      </w:r>
      <w:r>
        <w:t>https://mcp.opencaselaw.ch/entscheid/bger_5D_87_2020</w:t>
      </w:r>
    </w:p>
    <w:p>
      <w:r>
        <w:t>FR: TF 5D 87/2020 du 18 mai 2020</w:t>
      </w:r>
    </w:p>
    <w:p>
      <w:r>
        <w:t>IT: TF 5D 87/2020 del 18 maggio 2020</w:t>
      </w:r>
    </w:p>
    <w:p>
      <w:pPr>
        <w:pStyle w:val="Heading2"/>
      </w:pPr>
      <w:r>
        <w:t>Regeste</w:t>
      </w:r>
    </w:p>
    <w:p>
      <w:r>
        <w:t>Definitive Rechtsöffnung | Schuldbetreibungs- und Konkursrecht</w:t>
      </w:r>
    </w:p>
    <w:p>
      <w:pPr>
        <w:pStyle w:val="Heading2"/>
      </w:pPr>
      <w:r>
        <w:t>Erwägungen</w:t>
      </w:r>
    </w:p>
    <w:p>
      <w:r>
        <w:rPr>
          <w:b/>
        </w:rPr>
        <w:t>E. 1</w:t>
      </w:r>
    </w:p>
    <w:p>
      <w:r>
        <w:t>Mit Urteil vom 21. Februar 2020 erteilte das Bezirksgericht Bülach den Beschwerdegegnern gegenüber dem Beschwerdeführer in der Betreibung Nr. zzz des Betreibungsamtes Rafzerfeld die definitive Rechtsöffnung für Fr. 384.40 nebst Zins und Kosten. Dagegen erhob der Beschwerdeführer am 13. März 2020 Beschwerde. Mit Urteil vom 2. April 2020 wies das Obergericht des Kantons Zürich die Beschwerde ab, soweit es darauf eintrat. Am 13. Mai 2020 hat der Beschwerdeführer gegen diesen Beschluss (sowie zwei weitere Entscheide, dazu Verfahren 5D_85/2020 und 5D_86/2020) Beschwerde an das Bundesgericht erhoben.</w:t>
      </w:r>
    </w:p>
    <w:p>
      <w:r>
        <w:rPr>
          <w:b/>
        </w:rPr>
        <w:t>E. 2</w:t>
      </w:r>
    </w:p>
    <w:p>
      <w:r>
        <w:t>Auf die verlangte Vereinigung des vorliegenden mit den beiden weiteren Verfahren ist zu verzichten. Es sind nicht in allen drei Verfahren dieselben Parteien beteiligt und es stellen sich teilweise unterschiedliche Fragen. Der Beschwerdeführer ersucht um eine öffentliche Verhandlung. Vor Bundesgericht besteht kein Anspruch auf eine Parteiverhandlung ( Art. 57 BGG ) oder eine mündliche Beratung ( Art. 58 BGG ). Der vorliegende Entscheid kann ohne weiteres anhand der vorliegenden Unterlagen (Beschwerde samt Beilagen) gefällt werden. Auf den Beizug weiterer Akten ist zu verzichten.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Nicht einzutreten ist auf Anträge, die über die umstrittene Rechtsöffnung hinausgehen (Genugtuung; Rückzahlung verschiedener Beträge etc.).</w:t>
      </w:r>
    </w:p>
    <w:p>
      <w:r>
        <w:rPr>
          <w:b/>
        </w:rPr>
        <w:t>E. 4</w:t>
      </w:r>
    </w:p>
    <w:p>
      <w:r>
        <w:t>Das Obergericht hat die Rügen des Beschwerdeführers im kantonalen Verfahren teilweise als unzulässig erachtet (insbesondere seine Kritik am Einschätzungsverfahren bzw. -entscheid) und teilweise als unbegründet (betreffend Rechtskraftbescheinigung). Vor Bundesgericht geht der Beschwerdeführer auf diese Erwägungen nicht ein und er zeigt nicht auf, inwiefern das Obergericht gegen verfassungsmässige Rechte verstossen haben soll. Verrechnung hätte er im kantonalen Verfahren geltend machen müssen. Die weitschweifige Beschwerde erschöpft sich im Wesentlichen in einer teilweise schwer verständlichen Schilderung des Sachverhalts und in zahlreichen Vorwürfen gegen verschiedene Personen und Behörden (es lägen Verbrechen gegen die Menschlichkeit vor; er werde in die Schuldknechtschaft getrieben; die Rechtsöffnung erfolge aus allerniedrigsten Motiven, die Steuerschulden seien konstruiert etc.), wobei er dies alles offenbar auf das als ungerecht empfundene Urteil 4C.139/2001 vom 13. August 2001 zurückführt. Eine genügende Verfassungsrüge liegt nicht vor. Die Beschwerde ist offensichtlich mangelhaft begründet. Auf sie ist im vereinfachten Verfahren durch den Abteilungspräsidenten nicht einzutreten (Art. 117 i.V.m.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