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5D_87/2013 vom 16. Juli 2013</w:t>
      </w:r>
    </w:p>
    <w:p>
      <w:r>
        <w:t>Bundesgericht, 2013-07-16, FR</w:t>
      </w:r>
    </w:p>
    <w:p>
      <w:r>
        <w:rPr>
          <w:b/>
        </w:rPr>
        <w:t xml:space="preserve">Quelle: </w:t>
      </w:r>
      <w:r>
        <w:t>https://mcp.opencaselaw.ch/entscheid/bger_5D_87_2013</w:t>
      </w:r>
    </w:p>
    <w:p>
      <w:r>
        <w:t>FR: TF 5D_87/2013 du 16 juillet 2013</w:t>
      </w:r>
    </w:p>
    <w:p>
      <w:r>
        <w:t>IT: TF 5D_87/2013 del 16 luglio 2013</w:t>
      </w:r>
    </w:p>
    <w:p>
      <w:pPr>
        <w:pStyle w:val="Heading2"/>
      </w:pPr>
      <w:r>
        <w:t>Erwägungen</w:t>
      </w:r>
    </w:p>
    <w:p>
      <w:r>
        <w:rPr>
          <w:b/>
        </w:rPr>
        <w:t>E. 1</w:t>
      </w:r>
    </w:p>
    <w:p>
      <w:r>
        <w:t>Les sept recours sont dirigés contre des décisions formellement distinctes mais qui concernent le même complexe de faits, opposent les mêmes parties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2</w:t>
      </w:r>
    </w:p>
    <w:p>
      <w:r>
        <w:t>La décision qui prononce la mainlevée définitive de l'opposition est en principe sujette au recours en matière civile ( art. 72 al. 2 let. a LTF ; ATF 134 III 520 consid. 1.1 p. 521). Cependant, dans aucune des présentes causes, la valeur litigieuse n'atteint le seuil de 30'000 fr. ( art. 74 al. 1 let. b LTF ) et le recourant ne prétend pas ( art. 42 al. 2 LTF ) à l'examen d'une question juridique de principe ( art. 74 al. 2 let. a LTF ; cf. sur cette notion: ATF 137 III 580 consid. 1.1 p. 582). Partant, c'est bien la voie du recours constitutionnel subsidiaire au sens des art. 113 ss LTF qui est ouverte dans les cas d'espèce.</w:t>
      </w:r>
    </w:p>
    <w:p>
      <w:r>
        <w:t>Les autres conditions de recevabilité sont remplies: les recours ont été formés en temps utile ( art. 100 al. 1 et 117 LTF ) contre des décisions finales ( art. 90 et 117 LTF ; ATF 133 III 399 consid. 1.4 p. 400) prises par un tribunal supérieur ayant statué sur recours ( art. 75 et 114 LTF ); le poursuivi, qui a été débouté de ses conclusions par l'autorité précédente, a qualité pour recourir ( art. 115 LTF ).</w:t>
      </w:r>
    </w:p>
    <w:p>
      <w:r>
        <w:rPr>
          <w:b/>
        </w:rPr>
        <w:t>E. 3</w:t>
      </w:r>
    </w:p>
    <w:p>
      <w:r>
        <w:t>Autant que le recourant s'en prend aux décisions du Juge de paix du district de B.________, ses critiques sont irrecevables, faute d'être dirigées contre des décisions de dernière instance cantonale prises sur recours ( art. 75 LTF ).</w:t>
      </w:r>
    </w:p>
    <w:p>
      <w:r>
        <w:rPr>
          <w:b/>
        </w:rPr>
        <w:t>E. 4.1</w:t>
      </w:r>
    </w:p>
    <w:p>
      <w:r>
        <w:t>Le recours constitutionnel peut être formé pour violation des droits constitutionnels ( art. 116 LTF ). Saisi d'un tel recours, le Tribunal fédéral n'examine que les griefs expressément soulevés et motivés ( art. 106 al. 2 et 117 LTF ). En particulier, le justiciable qui se plaint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134 V 138 consid. 2.1 p. 143; 133 III 439 consid. 3.2 p. 444; 133 III 589 consid. 2 p. 591 s.; ATF 133 II 396 consid. 3.1 p. 399 s.).</w:t>
      </w:r>
    </w:p>
    <w:p>
      <w:r>
        <w:rPr>
          <w:b/>
        </w:rPr>
        <w:t>E. 4.2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318/319 et les arrêts cités).</w:t>
      </w:r>
    </w:p>
    <w:p>
      <w:r>
        <w:rPr>
          <w:b/>
        </w:rPr>
        <w:t>E. 5.1</w:t>
      </w:r>
    </w:p>
    <w:p>
      <w:r>
        <w:t>Au terme d'une motivation identique pour chacune des causes, la Cour des poursuites et faillites a approuvé les refus du premier juge de prolonger les délais qui avaient été impartis au poursuivi pour répondre aux requêtes de mainlevée définitive. Faute de motivation ou de conclusion, même implicite, tendant à la réforme, elle n'a pas examiné le bien-fondé des décisions de mainlevée qu'elle a dès lors confirmées.</w:t>
      </w:r>
    </w:p>
    <w:p>
      <w:r>
        <w:t>S'agissant plus particulièrement du refus de prolongation, elle a d'abord rappelé que les art. 253 CPC et 84 al. 2 in initio LP, qui donnent à la partie adverse l'occasion de se déterminer (répondre) - oralement (verbalement) ou par écrit -, concrétisent le droit d'être entendu du défendeur, respectivement du poursuivi, garanti par les art. 53 CPC , 29 al. 2 Cst. et 6 par. 1 CEDHet que, en l'espèce, un tel délai, fixé au 10 octobre 2012, avait été imparti. Se référant à l' art. 144 al. 2 CPC , elle a ensuite exposé que la prolongation de délai n'est pas un droit, cette disposition laissant une grande marge d'appréciation au juge. Elle a ajouté que, compte tenu de ce large pouvoir, l'autorité de recours ne devrait que rarement s'écarter de la décision prise à cet égard.</w:t>
      </w:r>
    </w:p>
    <w:p>
      <w:r>
        <w:t>Dans chaque cause, après avoir relevé que le recourant avait attendu le dernier jour du délai de deux mois qui lui avait été imparti pour demander la prolongation, elle a jugé que le motif invoqué tiré de " la complexité de cette affaire " était inconsistant s'agissant d'une requête de mainlevée fondée sur des décisions administratives définitives et exécutoires rendues en matière fiscale, à savoir des prononcés d'amende d'ordre pour violation de l'obligation de déposer une déclaration d'impôt après sommation ou des décisions de taxation d'office et leurs décomptes finaux. De plus, ce motif n'était pas suffisant, dans la mesure où le recourant n'avait pas indiqué en quoi cette prétendue complexité l'aurait empêché de procéder. Elle a estimé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w:t>
      </w:r>
    </w:p>
    <w:p>
      <w:r>
        <w:rPr>
          <w:b/>
        </w:rPr>
        <w:t>E. 5.2</w:t>
      </w:r>
    </w:p>
    <w:p>
      <w:r>
        <w:t>Interjetant le même recours dans chacune des présentes causes, le recourant voit dans ces considérations une violation de son droit d'être entendu ainsi que de l'arbitraire et du formalisme excessif dans l'application de l' art. 144 al. 2 CPC . En bref, il conteste le bien-fondé du refus de prolongation du délai de détermination. Il soutient par ailleurs qu'en dépit d'un tel refus, l'autorité cantonale aurait dû lui impartir un " très bref délai supplémentaire et non prolongeable " afin qu'il puisse tout de même se déterminer.</w:t>
      </w:r>
    </w:p>
    <w:p>
      <w:r>
        <w:t>En ce qui concerne l'absence de conclusions en réforme dans ses recours cantonaux, il expose qu'il n'en a pas prises parce que " le vice commis en première instance au travers de la violation du droit d'être entendu ne pouvait pas être réparé en deuxième instance, compte tenu du pouvoir d'examen de l'autorité de recours ".</w:t>
      </w:r>
    </w:p>
    <w:p>
      <w:r>
        <w:rPr>
          <w:b/>
        </w:rPr>
        <w:t>E. 6</w:t>
      </w:r>
    </w:p>
    <w:p>
      <w:r>
        <w:t>Autant qu'il s'en prend à la confirmation du refus de prolongation du délai de réponse, le recourant soutient, d'une part, que, selon la doctrine, une première prolongation ne peut que rarement être refusée en application de l' art. 144 al. 2 CPC , cette disposition conférant un droit " presque automatique " à ce que le délai soit prolongé. Il affirme, d'autre part, que l'autorité cantonale a nié à tort l'existence d'un motif suffisant. Il argue qu'elle ne pouvait ignorer - ainsi que le premier juge - qu'il invoquait à ce titre la " surcharge de travail " occasionnée par l'ensemble des litiges qui l'oppose à l'intimé et non uniquement la complexité de la procédure de mainlevée. Il y voit tant une violation de son droit d'être entendu qu'un formalisme excessif et une application arbitraire de l' art. 144 al. 2 CPC .</w:t>
      </w:r>
    </w:p>
    <w:p>
      <w:r>
        <w:rPr>
          <w:b/>
        </w:rPr>
        <w:t>E. 6.1</w:t>
      </w:r>
    </w:p>
    <w:p>
      <w:r>
        <w:t>Selon l' art. 144 al. 2 CPC , les délais fixés judiciairement peuvent être prolongés pour des motifs suffisants, lorsque la demande en est faite avant leur expiration.</w:t>
      </w:r>
    </w:p>
    <w:p>
      <w:r>
        <w:t>Commentant cette disposition, la doctrine citée par le recourant est d'avis qu'une première prolongation de délai ne devrait que " rarement " être refusée (Denis Tappy, in: Code de procédure civile commenté, 2011, no 10 ad art. 144 CPC ). Cela ne signifie toutefois pas, comme semble le penser le recourant, que l' art. 144 al. 2 CPC conférerait au justiciable un droit " automatique " à ce que le délai de réponse soit prolongé. Cette norme pose comme condition à la prolongation l'existence de " motifs suffisants " qu'il appartient à la partie d'invoquer de façon motivée (Barbara Merz, in: Schweizerische Zivilprozessordnung (ZPO) Kommentar, Brunner/Gasser/Schwander [éd.], 2011, no 9 ad art. 144 CPC ; Urs H. Hoffmann-Nowotny, in: Kurzkommentar ZPO, 2010, no 13 ad art. 144 CPC ; dans le même sens, s'agissant de l' art. 47 LTF dont l' art. 144 al. 2 CPC reprend la formulation [Message du 28 juin 2006 relatif au code de procédure civile suisse, FF 2006 6919]: Jean-Maurice Frésard, in: Commentaire de la LTF, 2009, no 16 ad art. 47 LTF ; cf. Kathrin Amstutz/Peter Arnold, in: Basler Kommentar, Bundesgerichtsgesetz, 2e éd., 2011, no 6a ad art. 47 LTF ). A cet égard, il suffit que soient rendues vraisemblables (Staehelin, in: Kommentar zur Schweizerischen Zivilprozessordnung, 2e éd., 2013, no 6 ad art. 144 CPC ; Merz, op. cit., no 9 ad art. 144 CPC ; Hoffmann-Nowotny, in: Kurzkommentar ZPO, 2010, no 13 ad art. 144 CPC ) des circonstances qui, selon l'expérience générale de la vie, sont de nature à empêcher l'observation du délai ou du moins à contrarier l'exécution en temps voulu de l'acte de procédure (Staehelin, op. cit., no 5 ad art. 144 CPC ; Merz, op. cit., no 6 ad art. 144 CPC ; cf. Frésard, op. cit., no 10 ad art. 47 LTF ).</w:t>
      </w:r>
    </w:p>
    <w:p>
      <w:r>
        <w:t>Savoir s'il existe des raisons suffisantes est une question qui est laissée à la large appréciation du juge; l' art. 144 al. 2 CPC est en effet conçu comme une norme potestative (" Kann-Vorschrift ") (Tappy, op. cit., nos 8 et 11 ad art. 144 CPC ; Merz, op. cit., no 6 ad art. 144 CPC ; Hoffmann-Nowotny, op. cit., nos 4 et 5 ad art. 144 CPC ; cf. Frésard, op. cit., no 11 ad art. 47 LTF ). Dans son appréciation, celui-ci mettra en balance l'importance du motif invoqué et l'intérêt au déroulement régulier de la procédure. Il tiendra compte des intérêts publics et privés (Staehelin, op. cit., no 5 ad art. 144 CPC ; Hoffmann, op. cit., no 8; cf. Frésard, op. cit., ibidem; cf. Amstuz/Arnold, op. cit., no 7 ad art. 47 LTF ). La sanction qui est attachée à l'inobservation du délai peut également jouer un rôle (cf. Frésard, op. cit., ibidem, les exemples cités) ainsi que l'exigence de célérité de la procédure que requiert la nature particulière de certaines affaires (Staehelin, op. cit., no 5 ad art. 144 CPC ; Merz, op. cit., no 8 ad art. 144 CPC ; Hoffmann-Nowotny, op. cit., no 4 ad art. 144 CPC ; cf. Frésard, op. cit. no 12 ad art. 47 LTF ; cf. Amstuz/Arnold, op. cit., no 7 ad art. 47 LTF ) ou la nature de l'acte de procédure qui doit être accompli (cf. Frésard, op. cit., no 14 ad art. 47 LTF ).</w:t>
      </w:r>
    </w:p>
    <w:p>
      <w:r>
        <w:t>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(en ce sens: Tappy, op. cit., no 11 ad art. 144 CPC , selon lequel l'autorité supérieure ne devrait que " rarement " s'écarter de la décision prise par le premier juge).</w:t>
      </w:r>
    </w:p>
    <w:p>
      <w:r>
        <w:rPr>
          <w:b/>
        </w:rPr>
        <w:t>E. 6.2</w:t>
      </w:r>
    </w:p>
    <w:p>
      <w:r>
        <w:t>L' art. 144 al. 2 CPC posant l'exigence d'un motif suffisant qu'il appartient à la partie d'invoquer de façon motivée et au juge d'apprécier, on ne saurait reprocher - que ce soit sous l'angle de l'arbitraire, de la violation du droit d'être entendu ou du formalisme excessif - à la Cour des poursuites et faillites d'avoir examiné si un tel motif était donné dans les cas d'espèce et de ne pas s'être contentée d'une prolongation " automatique ".</w:t>
      </w:r>
    </w:p>
    <w:p>
      <w:r>
        <w:t>Autre est la question de savoir si, dans son appréciation de cette condition, l'autorité cantonale a outrepassé de façon manifestement insoutenable (sur la notion d'arbitraire: supra, consid. 4.2) le large pouvoir qui est le sien en la matière. A cet égard, dans chaque cause, elle a d'une part jugé que le motif tiré de la " complexité de cette affaire " était " inconsistant ", s'agissant d'une requête de mainlevée fondée sur des décisions administratives définitives et exécutoires rendues en matière fiscale, à savoir des prononcés d'amende d'ordre pour violation de l'obligation de déposer une déclaration d'impôt après sommation ou des décisions de taxation d'office et leurs décomptes finaux. Elle a d'autre part retenu qu'il n'était en outre pas suffisant, dans la mesure où le recourant n'avait pas indiqué en quoi cette prétendue complexité l'aurait empêché de procéder.</w:t>
      </w:r>
    </w:p>
    <w:p>
      <w:r>
        <w:t>Le recourant affirme que, dans la mesure où il " occupe depuis de nombreuses années les tribunaux vaudois ", l'autorité cantonale aurait dû comprendre que le motif allégué ne consistait pas dans la complexité de la procédure de mainlevée, mais dans la complexité de l'ensemble des litiges qui l'oppose au créancier poursuivant, complexité qui s'apparenterait à la surcharge de travail d'un justiciable sans compétence en la matière et non assisté par un mandataire professionnel qui est confronté à une affaire volumineuse et particulièrement compliquée.</w:t>
      </w:r>
    </w:p>
    <w:p>
      <w:r>
        <w:t>Une telle argumentation ne suffit pas à démontrer l'arbitraire des considérations de l'arrêt entrepris. On ne saurait reprocher à la Cour des poursuites et faillites de ne pas avoir retenu que, derrière les termes " complexité de cette affaire ", le recourant entendait se référer à la " surcharge de travail " occasionnée par l'ensemble des litiges qui l'oppose à l'intimé. On peut exiger, même sous l'angle d'un examen limité à la vraisemblance, que le justiciable indique explicitement qu'il doit faire face à un nombre tel de procédures qu'il ne peut plus procéder dans le délai et ne se contente pas du fait qu'il serait connu des tribunaux.</w:t>
      </w:r>
    </w:p>
    <w:p>
      <w:r>
        <w:t>Au demeurant, si, dans chacune des présentes causes, une longue procédure a pu opposer les parties au sujet du fondement de la créance fiscale, elle a toutefois été close par des décisions dont le recourant ne conteste pas qu'elles sont aujourd'hui définitives et exécutoires. Si cette affaire peut avoir été complexe au fond, force est de constater qu'elle se résume, à ce jour, au seul recouvrement du montant dû à l'autorité fiscale, dans le cadre d'une procédure de mainlevée définitive dans laquelle les moyens libératoires sont très limités (cf. art. 81 LP ) et à laquelle le recourant - qui a, au demeurant, bénéficié d'un délai de réponse de deux mois - devait s'attendre après son opposition au commandement de payer notifié à l'instance de l'intimé.</w:t>
      </w:r>
    </w:p>
    <w:p>
      <w:r>
        <w:t>En l'absence de tout motif de prolongation, condition posée par l' art. 144 al. 2 CPC , la décision de l'autorité cantonale de refuser, dans chacune des causes, la prolongation du délai de réponse ne saurait être taxée d'insoutenable. Elle est d'autant plus justifiée que la demande a été faite dans le cadre d'une procédure sommaire dont la caractéristique est d'être simple et rapide et, plus particulièrement, d'une procédure de mainlevée définitive qui postule une certaine célérité (cf. Walter A. Stoffel, La mainlevée d'opposition - modèle d'une " procédure simple et rapide "?, in: Centenaire de la LP, 1989, p. 214 ss; en général: Fabienne Hohl, La réalisation du droit et les procédures rapides, 1994, nos 776 ss, avec les citations; ATF 138 III 252 consid. 2.1 [ad art. 252 ss CPC ]), alors que le délai de réponse était déjà fort généreux (environ deux mois).</w:t>
      </w:r>
    </w:p>
    <w:p>
      <w:r>
        <w:t>Fondée en droit, on ne voit pas en quoi elle violerait par ailleurs le droit d'être entendu du recourant (cf. Staehelin, op. cit., no 6 ad art. 144 CPC , selon lequel il y a violation du droit d'être entendu si la prolongation est refusée alors qu'il y a un motif suffisant). Ce dernier était averti que, même s'il ne procédait pas, le juge statuerait sans audience, sur la base du dossier, conformément aux art. 147 al. 3 et 256 al. 1 CPC. En déposant, à chaque fois, le dernier jour du délai imparti pour répondre sa demande de prolongation dont il ne pouvait exclure qu'elle soit rejetée, la prolongation n'étant pas automatique mais devant se fonder sur un motif suffisant, il a pris le risque de ne plus pouvoir se déterminer.</w:t>
      </w:r>
    </w:p>
    <w:p>
      <w:r>
        <w:rPr>
          <w:b/>
        </w:rPr>
        <w:t>E. 7</w:t>
      </w:r>
    </w:p>
    <w:p>
      <w:r>
        <w:t>Selon le recourant, dans le cas d'un refus de prolongation du délai de réponse, un " très bref délai supplémentaire et non prolongeable " doit être imparti à la partie afin qu'elle puisse tout de même se déterminer. En lui refusant une telle possibilité, l'autorité cantonale aurait fait preuve de formalisme excessif dans l'application de l' art. 144 al. 2 CPC .</w:t>
      </w:r>
    </w:p>
    <w:p>
      <w:r>
        <w:t>Il n'apparaît pas que la Cour des poursuites et faillites ait été saisie de cette question précise. Le recourant ne prétend en tout cas pas qu'il aurait soulevé un tel grief dans ses recours cantonaux, sur lequel l'autorité cantonale ne serait pas entrée en matière. De fait, il s'est borné à reprocher au premier juge d'avoir violé l' art. 144 al. 2 CPC en rejetant sa requête de prolongation alors qu'il n'était pas assisté, qu'il s'agissait d'une première demande, qu'il a fait valoir des motifs suffisants au vu desquels il pouvait s'attendre à obtenir une prolongation, que l'avis du 7 août 2012 ne précisait pas que le délai n'était pas prolongeable, et de l'avoir privé de son droit d'être entendu garanti par l' art. 29 al. 2 Cst. Le grief tel qu'il est formulé devant la Cour de céans est ainsi nouveau et, partant, irrecevable ( art. 75 al. 1 LTF applicable par le renvoi de l' art. 114 LTF ; cf. ATF 135 III 424 consid. 3.2 p. 429).</w:t>
      </w:r>
    </w:p>
    <w:p>
      <w:r>
        <w:rPr>
          <w:b/>
        </w:rPr>
        <w:t>E. 8</w:t>
      </w:r>
    </w:p>
    <w:p>
      <w:r>
        <w:t>Autant que l'autorité cantonale n'a pas examiné le bien-fondé des décisions de mainlevée, motif pris que les recours ne contenaient aucune motivation ou conclusion, même implicite, tendant à la réforme des prononcés du premier juge, le recourant ne formule pas une critique qui réponde aux exigences de motivation (cf. supra, consid. 4.1). Il se contente en effet d'exposer de façon appellatoire qu'il n'en a pas prises parce que " le vice commis en première instance au travers de la violation du droit d'être entendu ne pouvait pas être réparé en deuxième instance, compte tenu du pouvoir d'examen de l'autorité de recours ".</w:t>
      </w:r>
    </w:p>
    <w:p>
      <w:r>
        <w:rPr>
          <w:b/>
        </w:rPr>
        <w:t>E. 9</w:t>
      </w:r>
    </w:p>
    <w:p>
      <w:r>
        <w:t>Vu ce qui précède, les recours doivent être rejetés dans la mesure de leur recevabilité. Le prononcé du présent arrêt rend sans objet les requêtes d'effet suspensif, ceux-ci ayant au demeurant été accordés à titre superprovisoire. Le recourant sollicite l'assistance judiciaire totale, Me C.________ lui étant désigné en qualité d'avocat d'office. Il se contente toutefois de cette seule affirmation, sans établir que les conditions d'octroi de l'assistance judiciaire (cf. art. 64 LTF ) seraient remplies. Ce défaut de motivation et de documentation, en particulier de son indigence et de la nécessité de l'assistance d'un avocat, conduit au refus des demandes y relatives, le fait qu'il ait obtenu l'assistance juridique en instance cantonale n'étant à cet égard pas relevant (cf. arrêt 2C_238/2012 du 30 juillet 2012 consid. 5.2 et les références citées: arrêt 5A_57/2010 du 2 juillet 2010 consid. 7, non publié aux ATF 136 III 410 ; Thomas Geiser, in: Basler Kommentar - Bundesgerichtsgesetz, 2e éd., 2011, p. 728, no 23 ad art. 64 LTF ; ainsi que: ATF 125 IV 161 consid. 4a p. 164/165). Dans ces circonstances, en tant que partie qui succombe, le recourant supportera les frais de la procédure ( art. 66 al. 1 LTF ). Il n'y a pas lieu d'allouer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