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86/2023 vom 22. Mai 2023</w:t>
      </w:r>
    </w:p>
    <w:p>
      <w:r>
        <w:t>Bundesgericht, 2023-05-22, DE</w:t>
      </w:r>
    </w:p>
    <w:p>
      <w:r>
        <w:rPr>
          <w:b/>
        </w:rPr>
        <w:t xml:space="preserve">Quelle: </w:t>
      </w:r>
      <w:r>
        <w:t>https://mcp.opencaselaw.ch/entscheid/bger_5D_86_2023</w:t>
      </w:r>
    </w:p>
    <w:p>
      <w:r>
        <w:t>FR: TF 5D 86/2023 du 22 mai 2023</w:t>
      </w:r>
    </w:p>
    <w:p>
      <w:r>
        <w:t>IT: TF 5D 86/2023 del 22 maggio 2023</w:t>
      </w:r>
    </w:p>
    <w:p>
      <w:pPr>
        <w:pStyle w:val="Heading2"/>
      </w:pPr>
      <w:r>
        <w:t>Regeste</w:t>
      </w:r>
    </w:p>
    <w:p>
      <w:r>
        <w:t>Gerichtskostenvorschuss | Schuldbetreibungs- und Konkursrecht</w:t>
      </w:r>
    </w:p>
    <w:p>
      <w:pPr>
        <w:pStyle w:val="Heading2"/>
      </w:pPr>
      <w:r>
        <w:t>Erwägungen</w:t>
      </w:r>
    </w:p>
    <w:p>
      <w:r>
        <w:rPr>
          <w:b/>
        </w:rPr>
        <w:t>E. 1</w:t>
      </w:r>
    </w:p>
    <w:p>
      <w:r>
        <w:t>Im Streit um Nebenpunkte, namentlich in Bezug auf die Kosten und somit auch auf den Kostenvorschuss folgt der Rechtsweg an das Bundesgericht jenem der Hauptsache ( BGE 134 I 159 E. 1.1; 137 III 380 E. 1.1; Urteil 5A_960/2021 vom 29. November 2021 E. 1). Der Streitwert der zugrunde liegenden Streitsache beträgt Fr. 19'510.-- und erreicht damit den für die Beschwerde in Zivilsachen erforderlichen Mindeststreitwert von Fr. 30'000.-- nicht ( Art. 74 Abs. 1 lit. b BGG ). Mithin steht die subsidiäre Verfassungsbeschwerde offen ( Art. 113 BGG ), mit welcher ausschliesslich Verfassungsverletzungen gerügt werden können ( Art. 116 BGG ). Hierfür gilt das strenge Rügeprinzip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rPr>
          <w:b/>
        </w:rPr>
        <w:t>E. 2</w:t>
      </w:r>
    </w:p>
    <w:p>
      <w:r>
        <w:t>Die Kostenvorschussverfügung stellt im Übrigen einen Zwischenentscheid dar, der nur ausnahmsweise unter den besonderen Voraussetzungen von Art. 93 Abs. 1 BGG mit Beschwerde beim Bundesgericht angefochten werden kann (ausführlich zum nicht wieder gutzumachenden Nachteil BGE 142 III 798 E. 2.2), wobei diese in der Beschwerde im Einzelnen darzulegen sind ( BGE 137 III 324 E. 1.1; 141 III 80 E. 1.2). Die Beschwerdeführerin äussert sich hierzu nicht und folglich ist auf die Beschwerde nicht einzutreten.</w:t>
      </w:r>
    </w:p>
    <w:p>
      <w:r>
        <w:rPr>
          <w:b/>
        </w:rPr>
        <w:t>E. 3</w:t>
      </w:r>
    </w:p>
    <w:p>
      <w:r>
        <w:t>Ohnehin könnte auf die Beschwerde auch in der Sache nicht eingetreten werden, weil es an jeglichen Verfassungsrügen mangelt (dazu E. 1); die Beschwerdeführerin beklagt sich in rein appellatorischer Weise, dass der Kostenvorschuss überhöht sei und die ursprüngliche Kostenvorschussverfügung keine Rechtsmittelbelehrung enthalten habe.</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