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85/2008 vom 3. Dezember 2008</w:t>
      </w:r>
    </w:p>
    <w:p>
      <w:r>
        <w:t>Bundesgericht, 2008-12-03, DE</w:t>
      </w:r>
    </w:p>
    <w:p>
      <w:r>
        <w:rPr>
          <w:b/>
        </w:rPr>
        <w:t xml:space="preserve">Quelle: </w:t>
      </w:r>
      <w:r>
        <w:t>https://mcp.opencaselaw.ch/entscheid/bger_5D_85_2008</w:t>
      </w:r>
    </w:p>
    <w:p>
      <w:r>
        <w:t>FR: TF 5D 85/2008 du 3 décembre 2008</w:t>
      </w:r>
    </w:p>
    <w:p>
      <w:r>
        <w:t>IT: TF 5D 85/2008 del 3 dicembre 2008</w:t>
      </w:r>
    </w:p>
    <w:p>
      <w:pPr>
        <w:pStyle w:val="Heading2"/>
      </w:pPr>
      <w:r>
        <w:t>Regeste</w:t>
      </w:r>
    </w:p>
    <w:p>
      <w:r>
        <w:t>Rechtsöffnung | Schuldbetreibungs- und Konkursrecht</w:t>
      </w:r>
    </w:p>
    <w:p>
      <w:pPr>
        <w:pStyle w:val="Heading2"/>
      </w:pPr>
      <w:r>
        <w:t>Erwägungen</w:t>
      </w:r>
    </w:p>
    <w:p>
      <w:r>
        <w:rPr>
          <w:b/>
        </w:rPr>
        <w:t>E. 1</w:t>
      </w:r>
    </w:p>
    <w:p>
      <w:r>
        <w:t>Gegen kantonal letztinstanzliche Rechtsöffnungsentscheide, bei denen der Streitwert weniger als Fr. 30'000.-- beträgt, steht die subsidiäre Verfassungsbeschwerde offen (Art. 113, Art. 114 i.V.m. Art. 72 Abs. 2 lit. a, Art. 75 Abs. 1 und Art. 90 BGG ). Mit ihr kann nur die Verletzung von verfassungsmässigen Rechten gerügt werden ( Art. 116 BGG ).</w:t>
      </w:r>
    </w:p>
    <w:p>
      <w:r>
        <w:rPr>
          <w:b/>
        </w:rPr>
        <w:t>E. 2</w:t>
      </w:r>
    </w:p>
    <w:p>
      <w:r>
        <w:t>Die Beschwerdeschrift hat ein Rechtsbegehren zu enthalten ( Art. 42 Abs. 1 BGG ). Im Gegensatz zur staatsrechtlichen Beschwerde nach OG, die grundsätzlich rein kassatorischer Natur war (vgl. etwa BGE 129 I 129 E. 1.2.1 S. 131 f.), ist die subsidiäre Verfassungsbeschwerde (gleich wie die ordentliche Beschwerde) ein reformatorisches Rechtsmittel (Art. 117 i.V.m. Art. 107 Abs. 2 BGG ). Daher darf sich der Beschwerdeführer grundsätzlich nicht darauf beschränken, die Aufhebung des angefochtenen Entscheids zu beantragen, sondern muss einen Antrag in der Sache stellen (Urteil 4D_48/2007 vom 13. November 2007 E. 1.1). Wie nach der Praxis zur Beschwerde in Zivilsachen (zu dieser vgl. BGE 133 III 489 E. 3.1 S. 489 f.) und altrechtlichen Berufung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Die Beschwerdeführerin stellt in formeller Hinsicht kein reformatorisches Begehren. Gleichwohl ist aufgrund der Beschwerdebegründung zu ihren Gunsten davon auszugehen, dass sie vor Bundesgericht die Nichterteilung der Rechtsöffnung beantragt, sodass die Beschwerdeschrift insofern den Anforderungen an das Rechtsbegehren gemäss Art. 42 Abs. 1 BGG genügt.</w:t>
      </w:r>
    </w:p>
    <w:p>
      <w:r>
        <w:rPr>
          <w:b/>
        </w:rPr>
        <w:t>E. 3</w:t>
      </w:r>
    </w:p>
    <w:p>
      <w:r>
        <w:t>Die Beschwerdeführerin macht - wie bereits vor Obergericht - geltend, der Richter im erstinstanzlichen Verfahren, welches zum definitiven Rechtsöffnungstitel geführt hat, sei befangen gewesen. Sodann rügt sie, ihr sei der Entscheid der Obergerichts Zürich vom 20. März 2006 nicht zugestellt worden. Sie wendet sich gegen den Hinweis des Obergerichts Zürich, das Urteil habe ihr nicht ausgehändigt werden können, da sie der Post einen Rückbehaltungsauftrag gegeben habe, und macht geltend, dies sei kein Grund dafür, einen eingeschriebenen Brief nicht zu erhalten. Sie habe von einer Kanzleimitarbeiterin eine Kopie des Urteils verlangt, von diesem jedoch nur drei Seiten erhalten statt deren fünf, welche überdies neu eine Rechtskraftbescheinigung aufgewiesen hätten. Mit der Zustellung des Urteils des Obergerichts Zürich habe sie nicht rechnen können. Soweit die Beschwerdeführerin die Verletzung eines verfassungsmässigen Rechts rügt, macht sie eine Verletzung des Willkürverbots ( Art. 9 BV ) geltend.</w:t>
      </w:r>
    </w:p>
    <w:p>
      <w:r>
        <w:rPr>
          <w:b/>
        </w:rPr>
        <w:t>E. 4</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5</w:t>
      </w:r>
    </w:p>
    <w:p>
      <w:r>
        <w:t>Das Obergericht erwog zur Frage der Befangenheit, der Richter dürfe den zu vollstreckenden Entscheid nicht mehr materiell prüfen. Alleine aus der von der Beschwerdeführerin ins Recht gelegten Notiz könne keinesfalls auf eine Befangenheit des urteilenden Richters geschlossen werden. Ausserdem werde in der Begründung des Urteils des Obergerichts Zürich vom 20. März 2006 festgehalten, dass keinerlei Hinweise für eine Befangenheit dieses Richters vorhanden seien. Selbst wenn der urteilende Richter befangen gewesen wäre, käme man für die Frage der Rechtsöffnung nicht zwingend zu einem gegenteiligen Ergebnis, da nur schwerwiegende Verfahrensfehler einen Nichtigkeitsgrund bildeten. Was die Frage der Zustellung des Entscheids des Obergerichts Zürich betrifft, erwog das Obergericht, dass der Beschluss des Obergerichts Zürich vom 20. März 2006 am 21. März 2006 an die Beschwerdeführerin versandt worden sei, die Zustellfiktion ungeachtet des Rückbehalteauftrag am siebten Tag nach Eingang der Sendung beim Bestimmungspostamt greife (so BGE 134 V 49 E. 4 S. 51 f.) und die Behörde nicht verpflichtet sei, einen zweiten Zustellungsversuch vorzunehmen. Ausserdem habe die Beschwerdeführerin als Verfahrensbeteiligte mit der Zustellung des Entscheids des Obergerichts Zürich rechnen müssen.</w:t>
      </w:r>
    </w:p>
    <w:p>
      <w:r>
        <w:rPr>
          <w:b/>
        </w:rPr>
        <w:t>E. 6</w:t>
      </w:r>
    </w:p>
    <w:p>
      <w:r>
        <w:t>Weshalb der angefochtene Entscheid willkürlich sein soll, ist aus der Beschwerde nicht ersichtlich. Die Beschwerdeführerin setzt sich mit den Ausführungen der Vorinstanz nicht auseinander, sondern beschränkt sich vielmehr in appellatorischer Weise und in offensichtlicher Wiederholung ihrer Vorbringen vor Obergericht auf ihre oben erwähnten Ausführungen (s. oben, E. 3). Insgesamt erweisen sich die Rügen der Beschwerdeführerin somit als ungenügend begründet, sodass auf die Beschwerde nicht einzutreten ist (Art. 117 i.V.m. Art. 106 Abs. 2 BGG ).</w:t>
      </w:r>
    </w:p>
    <w:p>
      <w:r>
        <w:rPr>
          <w:b/>
        </w:rPr>
        <w:t>E. 7</w:t>
      </w:r>
    </w:p>
    <w:p>
      <w:r>
        <w:t>Somit ist auf die Verfassungsbeschwerde nicht einzutreten.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