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84/2009 vom 9. Juli 2009</w:t>
      </w:r>
    </w:p>
    <w:p>
      <w:r>
        <w:t>Bundesgericht, 2009-07-09, DE</w:t>
      </w:r>
    </w:p>
    <w:p>
      <w:r>
        <w:rPr>
          <w:b/>
        </w:rPr>
        <w:t xml:space="preserve">Quelle: </w:t>
      </w:r>
      <w:r>
        <w:t>https://mcp.opencaselaw.ch/entscheid/bger_5D_84_2009</w:t>
      </w:r>
    </w:p>
    <w:p>
      <w:r>
        <w:t>FR: TF 5D 84/2009 du 9 juillet 2009</w:t>
      </w:r>
    </w:p>
    <w:p>
      <w:r>
        <w:t>IT: TF 5D 84/2009 del 9 luglio 2009</w:t>
      </w:r>
    </w:p>
    <w:p>
      <w:pPr>
        <w:pStyle w:val="Heading2"/>
      </w:pPr>
      <w:r>
        <w:t>Regeste</w:t>
      </w:r>
    </w:p>
    <w:p>
      <w:r>
        <w:t>Rechtsöffnung | Schuldbetreibungs- und Konkursrecht</w:t>
      </w:r>
    </w:p>
    <w:p>
      <w:pPr>
        <w:pStyle w:val="Heading2"/>
      </w:pPr>
      <w:r>
        <w:t>Erwägungen</w:t>
      </w:r>
    </w:p>
    <w:p>
      <w:r>
        <w:rPr>
          <w:b/>
        </w:rPr>
        <w:t>E. 1.1</w:t>
      </w:r>
    </w:p>
    <w:p>
      <w:r>
        <w:t>Angefochten ist ein kantonal letztinstanzlicher Rechtsöffnungsentscheid. Dieser gilt als Endentscheid im Sinne von Art. 90 BGG ( BGE 133 III 399 E. 1.4 S. 400) und unterliegt grundsätzlich der Beschwerde in Zivilsachen ( Art. 72 Abs. 2 lit. a BGG ). Der für vermögensrechtliche Angelegenheiten erforderliche Streitwert von Fr. 30'000.-- ( Art. 74 Abs. 1 lit. b BGG ) ist vorliegend nicht erreicht, weshalb der Beschwerdeführer zu Recht die subsidiäre Verfassungsbeschwerde ( Art. 113 ff. BGG ) ergriffen hat.</w:t>
      </w:r>
    </w:p>
    <w:p>
      <w:r>
        <w:rPr>
          <w:b/>
        </w:rPr>
        <w:t>E. 1.2</w:t>
      </w:r>
    </w:p>
    <w:p>
      <w:r>
        <w:t>Mit subsidiärer Verfassungsbeschwerde kann nur die Verletzung verfassungsmässiger Rechte gerügt werden ( Art. 116 BGG ). Die Verletzung von verfassungsmässigen Rechten ist in der Beschwerdeschrift vorzubringen und zu begründen (Art. 117 i.V.m. Art. 106 Abs. 2 BGG ), wobei das Rügeprinzip gilt ( BGE 133 III 589 E. 2 S. 591). Das Bundesgericht prüft daher nur rechtsgenügend vorgebrachte, klar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w:t>
      </w:r>
    </w:p>
    <w:p>
      <w:r>
        <w:rPr>
          <w:b/>
        </w:rPr>
        <w:t>E. 1.3</w:t>
      </w:r>
    </w:p>
    <w:p>
      <w:r>
        <w:t>Gemäss Art. 75 Abs. 1 BGG , der kraft Verweises auch für die subsidiäre Verfassungsbeschwerde Anwendung findet ( Art. 114 BGG ), ist diese zulässig gegen Entscheide letzter kantonaler Instanzen und des Bundesverwaltungsgerichts. Dabei knüpft der Begriff der Letztinstanzlichkeit an jenen von Art. 86 Abs. 1 OG an (Urteil 5A_678/2007 vom 8. Januar 2008, E. 3.1). Letztinstanzlichkeit gemäss Art. 75 Abs. 1 BGG bedeutet, dass der kantonale Instanzenzug für die Rügen, die dem Bundesgericht vorgetragen werden, ausgeschöpft sein muss ( BGE 134 III 524 E. 1.3 S. 527, mit Hinweisen). Wo - wie hier - das Rügeprinzip gilt und deshalb das Recht nicht von Amtes wegen angewandt wird (s. E. 1.2), verbietet der Grundsatz von Treu und Glauben, der Vorinstanz rechtserhebliche Einwände vorzuenthalten und diese erst nach dem Ergehen eines ungünstigen Entscheides im anschliessenden Rechtsmittelverfahren zu erheben ( BGE 133 III 638 E. 2 S. 640).</w:t>
      </w:r>
    </w:p>
    <w:p>
      <w:r>
        <w:rPr>
          <w:b/>
        </w:rPr>
        <w:t>E. 2</w:t>
      </w:r>
    </w:p>
    <w:p>
      <w:r>
        <w:t>In seiner Beschwerde macht der Beschwerdeführer geltend, es fehle im vorliegenden Fall an einem vollstreckbaren Urteil indem das Urteil vom 29. August 2002 durch dasjenige des Obergerichts vom 11. Februar 2005 ersetzt worden sei. Soweit sich die Pflicht zur Bezahlung von Zinsen auf das "berichtigte Urteil vom 29. August 2002" beziehe, bestehe Letzteres nicht, weshalb man gar nicht wisse, auf welchem Betrag ein Zins geschuldet sei. Die Kombination aus Urteil (vom 11. Februar 2005) und Berichtigungsbeschluss (vom 26. September 2002) könne keinen Rechtsöffnungstitel darstellen. Nachdem der Beschwerdeführer gegenüber dem Obergericht geltend gemacht hat, der Beschluss vom 26. September 2002 sei nie gesetzeskonform eröffnet worden, die Forderung nach Verzinsung des Hauptbetrages sei zufolge unterlassener Erwähnung im Dispositiv abgewiesen worden, das Urteil vom 29. August 2002 sei durch dasjenige des Obergerichts vom 11. Februar 2005 ersetzt worden, weshalb das erstinstanzliche Urteil nicht mehr habe berichtigt werden können, der Rückweisungsentscheid so laute, dass in jedem Fall eine Neubeurteilung der Zinsenfrage durch das Obergericht hätte erfolgen sollen, es aktenwidrig sei, wenn das Obergericht davon ausgehe, der Berichtigungsbeschluss habe eine Rechtsmittelbelehrung enthalten, gegen den Berichtigungsbeschluss vom 26. September 2002 sei die Berufung nicht gegeben, weshalb ihm nicht vorgehalten werden könne, dass er keine Berufung erklärt habe, der Berichtigungsbeschluss nichts betreffend die Zinszahlungspflicht festhalte, es entgegen der Ansicht des Obergerichts keineswegs irrelevant sei, auf welchen Rechtsöffnungstitel die Rechtsöffnung abgestützt werde, die Rechtskraftbescheinigung auf dem Beschluss vom 26. September 2002 lediglich bescheinige, dass dieser rechtskräftig geworden sei aber nichts über das Schicksal des zu berichtigenden Urteils aussage und es aus all diesen Gründen kein vollstreckbares Urteil gebe, in welchem er zur Zahlung der in Betreibung gesetzten Forderung verpflichtet werde, erweisen sich die dem Bundesgericht unterbreiteten rechtlichen Ausführungen als neu. Diese sind mangels Letztinstanzlichkeit nicht zu hören (E. 1.3).</w:t>
      </w:r>
    </w:p>
    <w:p>
      <w:r>
        <w:rPr>
          <w:b/>
        </w:rPr>
        <w:t>E. 3</w:t>
      </w:r>
    </w:p>
    <w:p>
      <w:r>
        <w:t>Nach dem Gesagten ist auf die Beschwerde nicht einzutreten Ausgangsgemäss wird der Beschwerdeführer kostenpflichtig ( Art. 66 Abs. 1 BGG ). Eine Parteientschädigung ist nicht geschuldet, da der Beschwerdegegner in der Hauptsache nicht zur Vernehmlassung eingeladen wurde und er sich dem Gesuch um Gewährung der aufschiebenden Wirkung unterzogen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