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5D_81/2020 vom 14. August 2020</w:t>
      </w:r>
    </w:p>
    <w:p>
      <w:r>
        <w:t>Bundesgericht, 2020-08-14, FR</w:t>
      </w:r>
    </w:p>
    <w:p>
      <w:r>
        <w:rPr>
          <w:b/>
        </w:rPr>
        <w:t xml:space="preserve">Quelle: </w:t>
      </w:r>
      <w:r>
        <w:t>https://mcp.opencaselaw.ch/entscheid/bger_5D_81_2020</w:t>
      </w:r>
    </w:p>
    <w:p>
      <w:r>
        <w:t>FR: TF 5D_81/2020 du 14 août 2020</w:t>
      </w:r>
    </w:p>
    <w:p>
      <w:r>
        <w:t>IT: TF 5D_81/2020 del 14 agosto 2020</w:t>
      </w:r>
    </w:p>
    <w:p>
      <w:pPr>
        <w:pStyle w:val="Heading2"/>
      </w:pPr>
      <w:r>
        <w:t>Erwägungen</w:t>
      </w:r>
    </w:p>
    <w:p>
      <w:r>
        <w:rPr>
          <w:b/>
        </w:rPr>
        <w:t>E. 1</w:t>
      </w:r>
    </w:p>
    <w:p>
      <w:r>
        <w:t>Le Tribunal fédéral examine d'office et librement la recevabilité des recours qui lui sont soumis ( ATF 144 V 97 consid. 1; 144 II 184 consid. 1).</w:t>
      </w:r>
    </w:p>
    <w:p>
      <w:r>
        <w:rPr>
          <w:b/>
        </w:rPr>
        <w:t>E. 1.1</w:t>
      </w:r>
    </w:p>
    <w:p>
      <w:r>
        <w:t>Le mémoire de recours doit contenir des conclusions ( art. 42 al. 1 LTF ). Dès lors que tant le recours en matière civile que le recours constitutionnel subsidiaire sont des voies de réforme ( art. 107 al. 2 et 117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3.2).</w:t>
      </w:r>
    </w:p>
    <w:p>
      <w:r>
        <w:t>En l'espèce, le recourant se borne à prendre des conclusions cassatoires, sollicitant l'annulation " sans substitution " (sic) de l'arrêt attaqué. Il n'explique pas et le Tribunal fédéral ne discerne pas pourquoi il ne pourrait pas mettre lui-même fin au litige, en cas de succès des moyens présentés. Dans cette mesure, les conclusions du recours apparaissent lacunaires. Déclarer irrecevable le recours faute de conclusions réformatoires valablement formulées pourrait cependant relever du formalisme excessif, dans la mesure où l'on comprend, à la lecture du mémoire de recours, que l'intéressé conclut, en substance, à la réforme de l'arrêt entrepris en ce sens que les décisions d'avance de frais du 29 janvier 2020 sont annulées au motif que le premier juge n'avait pas encore statué sur sa requête de</w:t>
      </w:r>
    </w:p>
    <w:p>
      <w:r>
        <w:t>provisio ad litem , subsidiairement d'assistance judiciaire, et que sa requête d'assistance judiciaire pour la procédure de deuxième instance est admise dès lors que son recours n'était pas dénué de chances de succès. La question n'a toutefois pas à être approfondie car, de toute manière, le recours doit être déclaré irrecevable, pour d'autres motifs.</w:t>
      </w:r>
    </w:p>
    <w:p>
      <w:r>
        <w:rPr>
          <w:b/>
        </w:rPr>
        <w:t>E. 1.2.1</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La décision fixant le montant de l'avance de frais et impartissant un délai pour la payer ne met pas fin au procès civil. Il s'agit au contraire d'une simple décision incidente (parmi plusieurs: arrêt 5A_222/2020 du 22 juin 2020 consid. 1.2). L'arrêt de la Chambre des recours a terminé l'instance introduite devant cette autorité. Néanmoins, parce que le recours à l'origine de ce prononcé était dirigé contre une décision incidente, l'arrêt revêt lui aussi le caractère d'une décision incidente selon l' art. 93 al. 1 LTF ( ATF 137 III 380 consid. 1.1).</w:t>
      </w:r>
    </w:p>
    <w:p>
      <w:r>
        <w:rPr>
          <w:b/>
        </w:rPr>
        <w:t>E. 1.2.2</w:t>
      </w:r>
    </w:p>
    <w:p>
      <w:r>
        <w:t>Selon l' art. 93 al. 1 let. a LTF , le recours au Tribunal fédéral est notamment recevable contre les décisions incidentes de nature à causer un préjudice irréparable. La partie recourante doit être menacée d'un préjudice de nature juridique, qu'une décision finale favorable ne fera pas disparaître complètement. Un inconvénient seulement matériel, résultant par exemple d'un accroissement de la durée et des frais de la procédure, est insuffisant ( ATF 137 III 380 consid. 1.2.1; 134 III 188 consid. 2.2; 133 III 629 consid. 2.3.1). Dans le cas où, comme en l'espèce, le recourant attaque une décision relative à une avance de frais en se disant empêché d'accéder à la justice, il doit démontrer, dans les motifs, que ce préjudice le menace effectivement parce qu'il n'est financièrement pas en mesure de fournir l'avance de frais ( ATF 142 III 798 consid. 2; parmi plusieurs: arrêts 5A_222/2020 précité consid. 1.2 et les arrêts cités; 4A_492/2017 du 25 octobre 2017 consid. 3.1).</w:t>
      </w:r>
    </w:p>
    <w:p>
      <w:r>
        <w:t>A l'appui de sa motivation en lien avec l' art. 93 al. 1 LTF , le recourant se borne à affirmer qu'il " n'est pas en mesure d'assumer les frais de la procédure de divorce sans porter atteinte au minimum nécessaire à son entretien et à celui de sa famille ". Cette seule affirmation ne remplit manifestement pas la condition fixée dans la jurisprudence susmentionnée. C'était pourtant au recourant, selon cette jurisprudence, de démontrer qu'il ne possède pas les fonds nécessaires au paiement des avances de frais considérées et qu'il ne sera pas en mesure de se les procurer à temps. Au demeurant, si tant est qu'il faille les prendre en considération au stade de l'examen de la recevabilité du présent recours, on ne saurait inférer, sans autre forme d'explication, des pièces produites à l'appui de la requête d'assistance judiciaire pour la procédure fédérale que les ressources du recourant et de son épouse seraient insuffisantes pour assumer les frais de la procédure de divorce sur requête commune initiée devant le Tribunal.</w:t>
      </w:r>
    </w:p>
    <w:p>
      <w:r>
        <w:rPr>
          <w:b/>
        </w:rPr>
        <w:t>E. 1.2.3</w:t>
      </w:r>
    </w:p>
    <w:p>
      <w:r>
        <w:t>Il suit de là qu'en tant qu'il est dirigé contre la confirmation des décisions d'avance de frais du 29 janvier 2020, le recours est irrecevable faute de répondre aux conditions de l' art. 93 al. 1 LTF .</w:t>
      </w:r>
    </w:p>
    <w:p>
      <w:r>
        <w:rPr>
          <w:b/>
        </w:rPr>
        <w:t>E. 1.3</w:t>
      </w:r>
    </w:p>
    <w:p>
      <w:r>
        <w:t>Le recourant s'en prend également au rejet de sa requête d'assistance judiciaire pour la procédure de deuxième instance, prononcé et notifié en même temps que l'arrêt au fond.</w:t>
      </w:r>
    </w:p>
    <w:p>
      <w:r>
        <w:rPr>
          <w:b/>
        </w:rPr>
        <w:t>E. 1.3.1</w:t>
      </w:r>
    </w:p>
    <w:p>
      <w:r>
        <w:t>La recevabilité du recours, qui porte en l'occurrence sur une question accessoire (cf. parmi plusieurs: arrêt 5A_497/2019 du 10 décembre 2019 consid. 1 et les références), se détermine en fonction de la cause au fond, dans la mesure où aucune procédure spéciale n'est prévue ( ATF 138 III 94 consid. 2.2; 134 I 159 consid. 1.1). L'arrêt attaqué a été rendu dans le contexte d'une procédure de divorce, à savoir en matière civile ( art. 72 al. 1 LTF ). Dite procédure n'a trait qu'à des prétentions pécuniaires, dont il n'apparaît pas qu'elles atteignent le seuil de 30'000 fr. (cf. art. 74 al. 1 let. b LTF ), le recourant, qui considère à tort que la cause au fond serait non pécuniaire dans son ensemble, ne donnant aucune indication du montant des avoirs de prévoyance professionnelle qu'il y aurait lieu de partager. Seul le recours constitutionnel subsidiaire est donc ouvert. Cela étant, dès lors que le recourant confine ses propres griefs à la violation des droits constitutionnels, la qualification du recours en tant que constitutionnel ou ordinaire ne revêt, en l'espèce, aucune pertinence.</w:t>
      </w:r>
    </w:p>
    <w:p>
      <w:r>
        <w:rPr>
          <w:b/>
        </w:rPr>
        <w:t>E. 1.3.2</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145 I 121 consid. 2.1 et les références).</w:t>
      </w:r>
    </w:p>
    <w:p>
      <w:r>
        <w:rPr>
          <w:b/>
        </w:rPr>
        <w:t>E. 1.3.3</w:t>
      </w:r>
    </w:p>
    <w:p>
      <w:r>
        <w:t>Le recourant considère qu'il n'avait pas d'autre choix que de déposer un recours contre les décisions du 29 janvier 2020 et que son argument selon lequel le premier juge ne pouvait pas requérir les avances de frais litigieuses sans avoir au préalable statué sur sa requête de</w:t>
      </w:r>
    </w:p>
    <w:p>
      <w:r>
        <w:t>provisio ad litem , subsidiairement d'assistance judiciaire, n'était pas dénué de chances de succès. En retenant le contraire, les juges cantonaux avaient violé l' art. 29 al. 3 Cst. Ce faisant, sauf à les qualifier d'erronées ou de " motivation complètement nouvelle ", le recourant ne discute pas, conformément aux exigences susrappelées ( art. 106 al. 2 LTF ; cf.</w:t>
      </w:r>
    </w:p>
    <w:p>
      <w:r>
        <w:t>supra consid. 1.3.2), les arguments retenus par les juges cantonaux. En particulier, il ne prend pas position sur les motifs qui les ont conduits à considérer que le premier juge n'avait en l'occurrence pas à statuer sur sa requête d'assistance judiciaire, non valablement déposée, et qu'il pouvait en conséquence solliciter le versement des avances de frais litigieuses. Partant, son grief est irrecevable.</w:t>
      </w:r>
    </w:p>
    <w:p>
      <w:r>
        <w:rPr>
          <w:b/>
        </w:rPr>
        <w:t>E. 2</w:t>
      </w:r>
    </w:p>
    <w:p>
      <w:r>
        <w:t>En définitive, le recours doit être déclaré irrecevable. Les conclusions du recourant étant d'emblée vouées à l'échec, la requête d'assistance judiciaire ne saurait être agréée ( art. 64 LTF ) et l'intéressé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