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78/2020 vom 7. Mai 2020</w:t>
      </w:r>
    </w:p>
    <w:p>
      <w:r>
        <w:t>Bundesgericht, 2020-05-07, DE</w:t>
      </w:r>
    </w:p>
    <w:p>
      <w:r>
        <w:rPr>
          <w:b/>
        </w:rPr>
        <w:t xml:space="preserve">Quelle: </w:t>
      </w:r>
      <w:r>
        <w:t>https://mcp.opencaselaw.ch/entscheid/bger_5D_78_2020</w:t>
      </w:r>
    </w:p>
    <w:p>
      <w:r>
        <w:t>FR: TF 5D 78/2020 du 7 mai 2020</w:t>
      </w:r>
    </w:p>
    <w:p>
      <w:r>
        <w:t>IT: TF 5D 78/2020 del 7 maggio 2020</w:t>
      </w:r>
    </w:p>
    <w:p>
      <w:pPr>
        <w:pStyle w:val="Heading2"/>
      </w:pPr>
      <w:r>
        <w:t>Regeste</w:t>
      </w:r>
    </w:p>
    <w:p>
      <w:r>
        <w:t>Definitive Rechtsöffnung | Schuldbetreibungs- und Konkursrecht</w:t>
      </w:r>
    </w:p>
    <w:p>
      <w:pPr>
        <w:pStyle w:val="Heading2"/>
      </w:pPr>
      <w:r>
        <w:t>Erwägungen</w:t>
      </w:r>
    </w:p>
    <w:p>
      <w:r>
        <w:rPr>
          <w:b/>
        </w:rPr>
        <w:t>E. 1</w:t>
      </w:r>
    </w:p>
    <w:p>
      <w:r>
        <w:t>Mit Entscheid vom 10. Dezember 2019 erteilte das Regionalgericht Surselva dem Beschwerdegegner gegenüber dem Beschwerdeführer in der Betreibung Nr. xxx des Betreibungsamtes Surselva die definitive Rechtsöffnung für Fr. 12'045.80. Dagegen erhob der Beschwerdeführer am 27. Dezember 2019 (Poststempel) Beschwerde an das Kantonsgericht von Graubünden (Verfahren KSK 19 110). Die Eingabe enthielt weder Anträge noch eine Begründung. Am 30. Dezember 2019 teilte das Kantonsgericht dem Beschwerdeführer mit, es stehe ihm frei, innert der Beschwerdefrist eine formell genügende Beschwerde einzureichen. Am 31. Dezember 2019 (Poststempel) reichte der Beschwerdeführer eine weitere Eingabe ein. Am 16. Januar 2020 ersuchte er um unentgeltliche Rechtspflege (Verfahren KSK 20 1). Mit Entscheid vom 2. März 2020 trat das Kantonsgericht auf die Beschwerde mangels genügender Begründung nicht ein. Mit separater Verfügung vom 2. März 2020 wies es das Gesuch um unentgeltliche Rechtspflege ab. Hinsichtlich des Entscheids im Verfahren KSK 19 110 gelangte der Beschwerdeführer mit Schreiben vom 17. April 2020 an das Kantonsgericht. Mit Schreiben vom 20. April 2020 verwies das Kantonsgericht auf die Rechtsmittelbelehrung im Entscheid. Gegen den Entscheid und die Verfügung vom 2. März 2020 hat der Beschwerdeführer am 30. April 2020 Beschwerde in Zivilsachen an das Bundesgericht erhoben. Das Bundesgericht hat für den Entscheid das vorliegende Verfahren 5D_78/2020 und für die Verfügung das Verfahren 5D_77/2020 angelegt.</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ersucht um Einstellung der Betreibung und der Pfändung bzw. Pfändungen. Weder die Einstellung der Betreibung (im Sinne von Art. 85 oder Art. 85a SchKG ) noch die Pfändungen sind Gegenstand des vorliegenden Verfahrens. Darauf ist nicht einzutreten. Entgegen dem, wovon der Beschwerdeführer auszugehen scheint, überprüft das Bundesgericht die eingereichten Unterlagen nicht von sich aus. Vielmehr hat der Beschwerdeführer genügende Rügen zu erheben (oben E. 2). Weder in der eigentlichen Beschwerdeschrift noch im Schreiben vom 17. April 2020, das der Beschwerdeführer dem Bundesgericht im Original einreicht und das er wohl als Teil der Beschwerde auffasst, macht er geltend, es seien verfassungsmässige Rechte verletzt worden. Auf den angefochtenen Entscheid geht er in beiden Eingaben nicht ein. Die Beschwerde ist damit offensichtlich unzulässig bzw. offensichtlich mangelhaft begründet.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 Vor Bundesgericht stellt der Beschwerdeführer kein Gesuch um unentgeltliche Rechtspflege. Ein solches wäre infolge Aussichtslosigkeit der Beschwerde ohnehin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