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 78/2017 vom 12. Mai 2017</w:t>
      </w:r>
    </w:p>
    <w:p>
      <w:r>
        <w:t>Bundesgericht, 2017-05-12, DE</w:t>
      </w:r>
    </w:p>
    <w:p>
      <w:r>
        <w:rPr>
          <w:b/>
        </w:rPr>
        <w:t xml:space="preserve">Quelle: </w:t>
      </w:r>
      <w:r>
        <w:t>https://mcp.opencaselaw.ch/entscheid/bger_5D_78_2017</w:t>
      </w:r>
    </w:p>
    <w:p>
      <w:r>
        <w:t>FR: TF 5D 78/2017 du 12 mai 2017</w:t>
      </w:r>
    </w:p>
    <w:p>
      <w:r>
        <w:t>IT: TF 5D 78/2017 del 12 maggio 2017</w:t>
      </w:r>
    </w:p>
    <w:p>
      <w:pPr>
        <w:pStyle w:val="Heading2"/>
      </w:pPr>
      <w:r>
        <w:t>Regeste</w:t>
      </w:r>
    </w:p>
    <w:p>
      <w:r>
        <w:t>Definitive Rechtsöffnung | Schuldbetreibungs- und Konkursrecht</w:t>
      </w:r>
    </w:p>
    <w:p>
      <w:pPr>
        <w:pStyle w:val="Heading2"/>
      </w:pPr>
      <w:r>
        <w:t>Erwägungen</w:t>
      </w:r>
    </w:p>
    <w:p>
      <w:r>
        <w:rPr>
          <w:b/>
        </w:rPr>
        <w:t>E. 1</w:t>
      </w:r>
    </w:p>
    <w:p>
      <w:r>
        <w:t>Mit Urteil vom 14. November 2016 erteilte das Zivilkreisgericht Basel-Landschaft Ost der Gerichtsverwaltung des Kantons Basel-Landschaft in der Betreibung Nr. xxx des Betreibungsamts Basel-Landschaft definitive Rechtsöffnung für eine Forderung von Fr. 575.--. Gegen dieses Urteil erhob die Beschwerdeführerin am 6. Januar 2017 Beschwerde an das Kantonsgericht Basel-Landschaft. Mit Verfügung vom 17. Januar 2017 verzichtete das Kantonsgericht auf die Erhebung eines Kostenvorschusses und wies das Gesuch um unentgeltliche Rechtspflege ab. Mit Entscheid vom 7. Februar 2017 trat es auf die Beschwerde mangels genügender Begründung nicht ein. Gegen diesen Entscheid ist die Beschwerdeführerin am 9. Mai 2017 (Postaufgabe) an das Bundesgericht gelangt. Sie stellt zudem ein Gesuch um Wiederherstellung der Beschwerdefrist.</w:t>
      </w:r>
    </w:p>
    <w:p>
      <w:r>
        <w:rPr>
          <w:b/>
        </w:rPr>
        <w:t>E. 2</w:t>
      </w:r>
    </w:p>
    <w:p>
      <w:r>
        <w:t>Aufgrund des tiefen Streitwerts ( Art. 74 Abs. 1 lit. b BGG ) und mangels Vorliegens einer Rechtsfrage von grundsätzlicher Bedeutung ( Art. 74 Abs. 2 lit. a BGG ) ist einzig die subsidiäre Verfassungsbeschwerde zulässig ( Art. 113 ff. BGG ). Die Beschwerdeführerin hat den angefochtenen Entscheid am 3. März 2017 entgegengenommen. Sie hat damit die dreissigtägige Beschwerdefrist verpasst (Art. 117 i.V.m. Art. 100 Abs. 1 BGG ). Zwar stellt sie ein Gesuch um Wiederherstellung der Frist ( Art. 50 Abs. 1 BGG ). Sie erklärt die Fristversäumnis jedoch einzig damit, dass etwas anderes dazwischengekommen sei. Eine solche Behauptung genügt nicht, um darzutun, dass die Frist unverschuldet verpasst wurde. Das Gesuch um Fristwiederherstellung ist folglich abzuweisen. Die Beschwerde ist somit verspätet, womit auf sie nicht eingetreten werden kann. Im Übrigen ist die Beschwerdeführerin darauf hinzuweisen, dass das Bundesgericht nicht zuständig ist, um ein angeblich beim Kantonsgericht eingereichtes Fristwiederherstellungsgesuch ( Art. 148 ZPO ) zu behandeln. Die Beschwerde erweist sich damit als offensichtlich unzulässig. Darauf ist im vereinfachten Verfahren nach Art. 117 i.V.m. Art. 108 Abs. 1lit. a BGG durch das präsidierende Mitglied der Abteilung nicht einzutreten. Das Gesuch der Beschwerdeführerin um aufschiebende Wirkung wird damit gegenstandslos.</w:t>
      </w:r>
    </w:p>
    <w:p>
      <w:r>
        <w:rPr>
          <w:b/>
        </w:rPr>
        <w:t>E. 3</w:t>
      </w:r>
    </w:p>
    <w:p>
      <w:r>
        <w:t>Bei diesem Ausgang des Verfahrens trägt die Beschwerdeführerin die Gerichtskosten ( Art. 66 Abs. 1 BGG ). Das sinngemässe Gesuch der Beschwerdeführerin um unentgeltliche Rechtspflege ist abzuweisen, da die Beschwerde von vornherein aussichtslos war ( Art. 64 Abs. 1 BGG ).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