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78/2016 vom 11. Mai 2016</w:t>
      </w:r>
    </w:p>
    <w:p>
      <w:r>
        <w:t>Bundesgericht, 2016-05-11, DE</w:t>
      </w:r>
    </w:p>
    <w:p>
      <w:r>
        <w:rPr>
          <w:b/>
        </w:rPr>
        <w:t xml:space="preserve">Quelle: </w:t>
      </w:r>
      <w:r>
        <w:t>https://mcp.opencaselaw.ch/entscheid/bger_5D_78_2016</w:t>
      </w:r>
    </w:p>
    <w:p>
      <w:r>
        <w:t>FR: TF 5D 78/2016 du 11 mai 2016</w:t>
      </w:r>
    </w:p>
    <w:p>
      <w:r>
        <w:t>IT: TF 5D 78/2016 del 11 maggio 2016</w:t>
      </w:r>
    </w:p>
    <w:p>
      <w:pPr>
        <w:pStyle w:val="Heading2"/>
      </w:pPr>
      <w:r>
        <w:t>Regeste</w:t>
      </w:r>
    </w:p>
    <w:p>
      <w:r>
        <w:t>Definitive Rechtsöffnung | Schuldbetreibungs- und Konkursrecht</w:t>
      </w:r>
    </w:p>
    <w:p>
      <w:pPr>
        <w:pStyle w:val="Heading2"/>
      </w:pPr>
      <w:r>
        <w:t>Erwägungen</w:t>
      </w:r>
    </w:p>
    <w:p>
      <w:r>
        <w:rPr>
          <w:b/>
        </w:rPr>
        <w:t>E. 1</w:t>
      </w:r>
    </w:p>
    <w:p>
      <w:r>
        <w:t>Die Amtsgerichtsstatthalterin von Bucheggberg-Wasseramt erteilte der Schweizerischen Eidgenossenschaft (Beschwerdegegnerin) in der gegen A.________ (Beschwerdeführer) eingeleiteten Betreibung Nr. xxx des Betreibungsamtes Region Solothurn definitive Rechtsöffnung für Fr. 400.-- nebst Zins zu 5% seit 1. September 2015 und für die Kosten des Zahlungsbefehls von Fr. 33.--. Mit Beschluss vom 29. März 2016 trat das Obergericht des Kantons Solothurn auf die Beschwerde des Beschwerdeführers nicht ein. Der Beschwerdeführer hat am 6. Mai 2016 beim Bundesgericht gegen das obergerichtliche Urteil Beschwerde erhoben. Zudem verlangt er den Ausstand der an früheren ihn betreffenden Verfahren beteiligten Bundesrichterinnen und Bundesrichter. Es sind keine Vernehmlassungen eingeholt worden.</w:t>
      </w:r>
    </w:p>
    <w:p>
      <w:r>
        <w:rPr>
          <w:b/>
        </w:rPr>
        <w:t>E. 2</w:t>
      </w:r>
    </w:p>
    <w:p>
      <w:r>
        <w:t>Auf das allein zur Blockierung der Justiz gestellte und damit rechtsmissbräuchliche Ausstandsbegehren des Beschwerdeführers gegen die an früheren ihn betreffenden Verfahren beteiligten Bundesrichterinnen und Bundesrichter ist nicht einzutreten.</w:t>
      </w:r>
    </w:p>
    <w:p>
      <w:r>
        <w:rPr>
          <w:b/>
        </w:rPr>
        <w:t>E. 3.1</w:t>
      </w:r>
    </w:p>
    <w:p>
      <w:r>
        <w:t>Da in der vorliegenden vermögensrechtlichen Sache ( Art. 72 Abs. 2 lit. a BGG ) der Streitwert von Fr. 30'000.-- nicht erreicht ist ( Art. 74 Abs. 1 lit. b BGG ), ist gegen den angefochtenen Entscheid nur die Verfassungsbeschwerde gegeben ( Art. 113 BGG ). In der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3.2</w:t>
      </w:r>
    </w:p>
    <w:p>
      <w:r>
        <w:t>Nach dem obergerichtlichen Urteil hat die erste Instanz erwogen, die Beschwerdegegnerin habe das Rechtsöffnungsbegehren auf das rechtskräftige Urteil 2C_575/2015 des Bundesgerichts vom 3. Juli 2015 gestützt, wonach der Beschwerdeführer zur Bezahlung der Gerichtskosten von Fr. 400.-- verurteilt worden sei; der Beschwerdeführer habe sich innert Frist nicht vernehmen lassen und es seien keine Gründe ersichtlich, warum im vorliegenden Fall die definitive Rechtsöffnung zu verweigern wäre. Das Obergericht fährt alsdann fort, auf diese völlig zutreffenden Erwägungen der ersten Instanz gehe der Beschwerdeführer nicht ein und setze sich damit überhaupt nicht auseinander. Der Beschwerde lasse sich nicht substanziiert entnehmen, inwiefern die Vorderrichterin das Recht unrichtig angewendet oder den Sachverhalt offensichtlich unrichtig festgestellt habe. Den Anforderungen an eine Beschwerdeschrift sei daher nicht Genüge getan. Auf die Beschwerde sei nicht einzutreten.</w:t>
      </w:r>
    </w:p>
    <w:p>
      <w:r>
        <w:rPr>
          <w:b/>
        </w:rPr>
        <w:t>E. 3.3</w:t>
      </w:r>
    </w:p>
    <w:p>
      <w:r>
        <w:t>Der Beschwerdeführer setzt sich in seiner Eingabe an das Bundesgericht nicht den beschriebenen Begründungsanforderungen (E. 3.1) entsprechend mit dem angefochtenen Entscheid auseinander und sagt damit nicht rechtsgenügend, inwiefern das Obergericht Bundesrecht unrichtig angewendet oder die verfassungsmässigen Rechte des Beschwerdeführers verletzt haben könnte. 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