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5D_76/2016 vom 12. Mai 2016</w:t>
      </w:r>
    </w:p>
    <w:p>
      <w:r>
        <w:t>Bundesgericht, 2016-05-12, DE</w:t>
      </w:r>
    </w:p>
    <w:p>
      <w:r>
        <w:rPr>
          <w:b/>
        </w:rPr>
        <w:t xml:space="preserve">Quelle: </w:t>
      </w:r>
      <w:r>
        <w:t>https://mcp.opencaselaw.ch/entscheid/bger_5D_76_2016</w:t>
      </w:r>
    </w:p>
    <w:p>
      <w:r>
        <w:t>FR: TF 5D_76/2016 du 12 mai 2016</w:t>
      </w:r>
    </w:p>
    <w:p>
      <w:r>
        <w:t>IT: TF 5D_76/2016 del 12 maggio 2016</w:t>
      </w:r>
    </w:p>
    <w:p>
      <w:pPr>
        <w:pStyle w:val="Heading2"/>
      </w:pPr>
      <w:r>
        <w:t>Erwägungen</w:t>
      </w:r>
    </w:p>
    <w:p>
      <w:r>
        <w:rPr>
          <w:b/>
        </w:rPr>
        <w:t>E. 1</w:t>
      </w:r>
    </w:p>
    <w:p>
      <w:r>
        <w:t>Mit Entscheid vom 13. Januar 2016 erteilte die Zivilkreisgerichtspräsidentin Basel-Landschaft der von B.A.________ (Gläubigerin) gegen A.A.________ (Schuldner) eingeleiteten Betreibung Nr. xxx des Betreibungsamtes Basel-Landschaft definitive Rechtsöffnung für den Betrag von Fr. 994.65 nebst Zins zu 5 % seit dem 30. Oktober 2015. Mit Entscheid vom 5. April 2016 trat der Präsident des Kantonsgerichts Basel-Landschaft auf die gegen den erstinstanzlichen Entscheid erhobene Beschwerde des Schuldners nicht ein. Dagegen gelangt der Schuldner (Beschwerdeführer) mit Eingabe vom 27. April 2016 (Postaufgabe) an das Bundesgericht und ersucht sinngemäss um Aufhebung des angefochtenen kantonsgerichtlichen Entscheides und um Verweigerung der Rechtsöffnung.</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Kantonsgericht hat im Wesentlichen erwogen, der Beschwerdeführer nehme in seiner Eingabe in keiner Weise Bezug auf den erstinstanzlichen Rechtsöffnungsentscheid und zeige damit auch nicht auf, weshalb er den Ausführungen der Vorinstanz widerspreche und sie ablehne. Ferner sei aufgrund der Beschwerde nicht ersichtlich, inwiefern der erstinstanzliche Entscheid an einem Beschwerdegrund kranke, zumal weder eine offensichtlich unrichtige Sachverhaltsfeststellung gerügt noch aufgezeigt werde, welche unrichtige Rechtsanwendung zu überprüfen wäre. Insbesondere gehe der Beschwerdeführer mit keinem Wort auf die von der ersten Instanz als definitive Rechtsöffnungstitel qualifizierten Verfügungen des Bezirksgerichts Winterthur vom 29. März 2011 und 10. April 2012 ein; vielmehr bringe er nur seinen Unmut und sei Unverständnis über den angefochtenen Entscheid zum Ausdruck. Die Beschwerdebegründung genüge damit selbst bei Anwendung des bei juristischen Laien zu beachtenden tiefen Begründungsmassstabes den Anforderungen von Art. 321 Abs. 1 ZPO in keiner Weise, weshalb auf die Beschwerde nicht einzutreten sei.</w:t>
      </w:r>
    </w:p>
    <w:p>
      <w:r>
        <w:rPr>
          <w:b/>
        </w:rPr>
        <w:t>E. 2.3</w:t>
      </w:r>
    </w:p>
    <w:p>
      <w:r>
        <w:t>Der Beschwerdeführer geht in seiner Eingabe nicht auf die den Entscheid tragenden Erwägungen ein und zeigt nicht anhand dieser Erwägungen auf, inwiefern die Vorinstanz den Sachverhalt willkürlich festgestellt, Bundesrecht willkürlich angewendet oder seine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