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5D_75/2017 vom 11. Mai 2017</w:t>
      </w:r>
    </w:p>
    <w:p>
      <w:r>
        <w:t>Bundesgericht, 2017-05-11, DE</w:t>
      </w:r>
    </w:p>
    <w:p>
      <w:r>
        <w:rPr>
          <w:b/>
        </w:rPr>
        <w:t xml:space="preserve">Quelle: </w:t>
      </w:r>
      <w:r>
        <w:t>https://mcp.opencaselaw.ch/entscheid/bger_5D_75_2017</w:t>
      </w:r>
    </w:p>
    <w:p>
      <w:r>
        <w:t>FR: TF 5D_75/2017 du 11 mai 2017</w:t>
      </w:r>
    </w:p>
    <w:p>
      <w:r>
        <w:t>IT: TF 5D_75/2017 del 11 maggio 2017</w:t>
      </w:r>
    </w:p>
    <w:p>
      <w:pPr>
        <w:pStyle w:val="Heading2"/>
      </w:pPr>
      <w:r>
        <w:t>Erwägungen</w:t>
      </w:r>
    </w:p>
    <w:p>
      <w:r>
        <w:rPr>
          <w:b/>
        </w:rPr>
        <w:t>E. 1</w:t>
      </w:r>
    </w:p>
    <w:p>
      <w:r>
        <w:t>Mit Urteil vom 31. Januar 2017 erteilte das Bezirksgericht Zürich den Beschwerdegegnern in der Betreibung Nr. xxx des Betreibungsamts Zürich yyy (Zahlungsbefehl vom 29. August 2016) gestützt auf den Einschätzungsentscheid des Steueramtes der Stadt Zürich vom 8. Januar 2016 und die dazugehörige Schlussrechnung des Steueramtes vom 15. Februar 2016 für ausstehende Staats- und Gemeindesteuern 2014 definitive Rechtsöffnung für Fr. 9'687.60 nebst 4,5 % Zins seit 27. August 2016, für Fr. 206.20 (Ausgleichszins) und Fr. 210.25 (aufgelaufener Zins).</w:t>
      </w:r>
    </w:p>
    <w:p>
      <w:r>
        <w:t>Gegen dieses Urteil erhob der Beschwerdeführer am 12. Februar 2017 Beschwerde an das Obergericht des Kantons Zürich. Mit Urteil vom 5. April 2017 wies das Obergericht die Beschwerde ab.</w:t>
      </w:r>
    </w:p>
    <w:p>
      <w:r>
        <w:t>Am 5. Mai 2017 hat der Beschwerdeführer Beschwerde an das Bundesgericht erhoben.</w:t>
      </w:r>
    </w:p>
    <w:p>
      <w:r>
        <w:rPr>
          <w:b/>
        </w:rPr>
        <w:t>E. 2</w:t>
      </w:r>
    </w:p>
    <w:p>
      <w:r>
        <w:t>Da der Streitwert der vorliegenden Angelegenheit unter Fr. 30'000.-- liegt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hat erwogen, der Beschwerdeführer habe sich vor Bezirksgericht nicht vernehmen lassen. Er habe im Beschwerdeverfahren Unterlagen eingereicht und Einwendungen vorgebracht, die neu und deshalb unzulässig seien. Insbesondere hätte er bereits vor Bezirksgericht geltend machen müssen, die Schuld sei teilweise getilgt bzw. gestundet. Im Hinblick auf die weiteren Einwände des Beschwerdeführers hat das Obergericht erwogen, im Verfahren auf definitive Rechtsöffnung werde nicht mehr geprüft, ob eine Forderung zu Recht bestehe oder nicht. Es sei deshalb unerheblich, dass die Einschätzung nach Ansicht des Beschwerdeführers nicht stimme. Dies hätte er mit Einsprache gegen den Einschätzungsentscheid geltend machen müssen. Er behaupte erstmals im Beschwerdeverfahren, eine solche Einsprache erhoben zu haben, doch gehe dazu aus der Beschwerde nichts Näheres hervor. Dieser pauschale und damit ungenügend begründete Einwand widerspreche zudem der Rechtskraftbescheinigung, die die Beschwerdegegner eingereicht hätten.</w:t>
      </w:r>
    </w:p>
    <w:p>
      <w:r>
        <w:t>Mit diesen Erwägungen setzt sich der Beschwerdeführer nicht auseinander. Er legt insbesondere nicht dar, inwiefern durch sie verfassungsmässige Rechte verletzt werden sollen. Stattdessen wiederholt er, dass die berechneten Beträge nicht stimmen würden, er fristgerecht Einsprache erhoben habe und Verhandlungen über eine Stundung bzw. Ratenzahlungen stattgefunden hätten.</w:t>
      </w:r>
    </w:p>
    <w:p>
      <w:r>
        <w:t>Die Verfassungsbeschwerde enthält damit offensichtlich keine hinreichende Begründung. Darauf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