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5D_75/2014 vom 29. Juli 2014</w:t>
      </w:r>
    </w:p>
    <w:p>
      <w:r>
        <w:t>Bundesgericht, 2014-07-29, DE</w:t>
      </w:r>
    </w:p>
    <w:p>
      <w:r>
        <w:rPr>
          <w:b/>
        </w:rPr>
        <w:t xml:space="preserve">Quelle: </w:t>
      </w:r>
      <w:r>
        <w:t>https://mcp.opencaselaw.ch/entscheid/bger_5D_75_2014</w:t>
      </w:r>
    </w:p>
    <w:p>
      <w:r>
        <w:t>FR: TF 5D_75/2014 du 29 juillet 2014</w:t>
      </w:r>
    </w:p>
    <w:p>
      <w:r>
        <w:t>IT: TF 5D_75/2014 del 29 luglio 2014</w:t>
      </w:r>
    </w:p>
    <w:p>
      <w:pPr>
        <w:pStyle w:val="Heading2"/>
      </w:pPr>
      <w:r>
        <w:t>Erwägungen</w:t>
      </w:r>
    </w:p>
    <w:p>
      <w:r>
        <w:rPr>
          <w:b/>
        </w:rPr>
        <w:t>E. 1</w:t>
      </w:r>
    </w:p>
    <w:p>
      <w:r>
        <w:t>Das angefochtene Urteil RB130060 ist in einem Persönlichkeitsschutzprozess ( Art. 28 ff. ZGB ) und damit in einer Zivilsache ( Art. 72 Abs. 1 BGG ) ergangen, hat aber vor Obergericht nur die Gerichtsgebühr für ein Ausstandsverfahren betroffen, so dass sich die Zulässigkeit der Beschwerde nach dem Streitwert richtet, der den gesetzlichen Mindestbetrag von Fr. 30'000.-- offenkundig nicht erreicht ( Art. 74 Abs. 1 lit. b BGG ; Urteil 4D_54/2013 vom 6. Januar 2014 E. 1.2, nicht veröffentlicht in: BGE 140 III 30 , und Urteil 5A_352/2013 vom 22. August 2013 E. 1, nicht veröffentlicht in: BGE 139 III 358 ). Da der Beschwerdeführer das Vorliegen einer Rechtsfrage von grundsätzlicher Bedeutung weder behauptet noch begründet (Art. 74 Abs. 2 lit. a i.V.m. Art. 42 Abs. 2 BGG ), ist seine Eingabe als subsidiäre Verfassungsbeschwerde zulässig ( Art. 113 BGG ). In Zivilsachen - auch wenn nur Verfassungsrügen gestattet sind - darf sich der Beschwerdeführer durch eine Consulting-Firma vor Bundesgericht nicht vertreten lassen ( Art. 40 BGG ; BGE 134 III 520 E. 1.2 S. 522). Da er die Beschwerdeschrift auch persönlich unterzeichnet hat, kann darauf grundsätzlich eingetreten werden.</w:t>
      </w:r>
    </w:p>
    <w:p>
      <w:r>
        <w:rPr>
          <w:b/>
        </w:rPr>
        <w:t>E. 2</w:t>
      </w:r>
    </w:p>
    <w:p>
      <w:r>
        <w:t>Zu den Verfahrensanträgen des Beschwerdeführers ergibt sich Folgendes:</w:t>
      </w:r>
    </w:p>
    <w:p>
      <w:r>
        <w:rPr>
          <w:b/>
        </w:rPr>
        <w:t>E. 2.1</w:t>
      </w:r>
    </w:p>
    <w:p>
      <w:r>
        <w:t>Das Bundesgericht legt seinem Urteil den Sachverhalt zugrunde, den die Vorinstanz festgestellt hat ( Art. 118 Abs. 1 BGG ), und trifft - von hier weder behaupteten noch gegebenen Ausnahmen abgesehen - keine Sachverhaltsfeststellungen ( Art. 118 Abs. 2 BGG ). Die einzig in diesem Zusammenhang verlangte Akteneinsicht zwecks Stellungnahme und weiteren Beweisofferten erübrigt sich. Da keine weiteren prozessleitenden Verfügungen ergangen sind, erweist sich auch der Antrag auf vorgängige Anhörung dazu als gegenstandslos.</w:t>
      </w:r>
    </w:p>
    <w:p>
      <w:r>
        <w:rPr>
          <w:b/>
        </w:rPr>
        <w:t>E. 2.2</w:t>
      </w:r>
    </w:p>
    <w:p>
      <w:r>
        <w:t>Der Beschwerdeführer hat innert gesetzlicher Frist (Art. 100 Abs. 1 i.V.m. Art. 46 Abs. 1 lit. a BGG ) seine Beschwerde eingereicht und ersucht gleichwohl um Erstreckung bzw. Wiederherstellung der Frist zur Einreichung der rechtlichen Begründung der vorliegenden Beschwerdeeingabe. Sein Gesuch begründet er unter Einreichung ärztlicher Atteste mit einer Prozessunfähigkeit im Sinne von Art. 16 ZGB aus gesundheitlichen Gründen wegen einer erfolgten Operation, anschliessender Arbeitsunfähigkeit und andauernder Behandlung. Indessen kann die gesetzliche Beschwerdefrist nicht erstreckt werden ( Art. 47 Abs. 1 BGG ) und dient die Wiederherstellung einer Frist nicht deren Erstreckung, zumal nach Wegfall des Hindernisses, das vom fristgerechten Handeln unverschuldet abgehalten hat, innert dreissig Tagen nicht nur das Gesuch um Wiederherstellung gestellt, sondern auch die versäumte Rechtshandlung nachgeholt werden muss ( Art. 50 BGG ). Gemäss dem letzten ärztlichen Attest ist der Beschwerdeführer seit Mitte Mai 2014 in ambulanter Behandlung und damit nicht mehr am Handeln verhindert, so dass die angeblich versäumte Rechtsvorkehr längst hätte nachgeholt werden müssen, was aber nicht geschehen ist. Das Gesuch um Wiederherstellung erweist sich deshalb als unzulässig ( BGE 101 V 17 E. 1 S. 19). Weiter sind weder Fälle für die Ansetzung einer Nachfrist gegeben ( Art. 42 Abs. 5 und 6 BGG ) noch die Voraussetzungen zur Ergänzung der Beschwerdeschrift erfüllt ( Art. 43 BGG ).</w:t>
      </w:r>
    </w:p>
    <w:p>
      <w:r>
        <w:rPr>
          <w:b/>
        </w:rPr>
        <w:t>E. 2.3</w:t>
      </w:r>
    </w:p>
    <w:p>
      <w:r>
        <w:t>Entgegen seiner Ansicht hat der Beschwerdeführer keinen Anspruch darauf, dass ihm die personelle Zusammensetzung des Gerichts im Hinblick auf ein allfälliges Ausstandsgesuch persönlich und vorgängig mitgeteilt wird. Sein Anspruch auf Bekanntgabe des Spruchkörpers gilt als gewahrt, wenn die Namen der Mitwirkenden einer amtlichen Publikation wie etwa einem Staatskalender entnommen werden können ( BGE 117 Ia 322 E. 1c S. 323; Urteil 5A_605/2013 vom 11. November 2013 E. 3.1).</w:t>
      </w:r>
    </w:p>
    <w:p>
      <w:r>
        <w:rPr>
          <w:b/>
        </w:rPr>
        <w:t>E. 2.4</w:t>
      </w:r>
    </w:p>
    <w:p>
      <w:r>
        <w:t>Der Beschwerdeführer verlangt unter Hinweis auf völkerrechtliche Garantien ein mündliches und öffentliches Verfahren vor Bundesgericht. Die mündliche und öffentliche Parteiverhandlung sowie die Beratung sind in Art. 57 bis Art. 59 BGG geregelt, deren Voraussetzungen vorliegend nicht erfüllt sind.</w:t>
      </w:r>
    </w:p>
    <w:p>
      <w:r>
        <w:rPr>
          <w:b/>
        </w:rPr>
        <w:t>E. 2.5</w:t>
      </w:r>
    </w:p>
    <w:p>
      <w:r>
        <w:t>Unter Vorbehalt des Gesuchs um unentgeltliche Rechtspflege (E. 6) müssen die Verfahrensanträge abgewiesen werden, soweit auf sie einzutreten ist und soweit sie nicht gegenstandslos geworden sind.</w:t>
      </w:r>
    </w:p>
    <w:p>
      <w:r>
        <w:rPr>
          <w:b/>
        </w:rPr>
        <w:t>E. 3</w:t>
      </w:r>
    </w:p>
    <w:p>
      <w:r>
        <w:t>Das Rechtsbegehren um Rückgabe von Akten aus abgeschlossenen Prozessen hat der Beschwerdeführer im Verfahren RB130060 vor Obergericht nicht gestellt und ist vor Bundesgericht deshalb neu und unzulässig (Art. 99 Abs. 2 i.V.m. Art. 117 BGG ; BGE 135 I 119 E. 2 S. 121).</w:t>
      </w:r>
    </w:p>
    <w:p>
      <w:r>
        <w:rPr>
          <w:b/>
        </w:rPr>
        <w:t>E. 4</w:t>
      </w:r>
    </w:p>
    <w:p>
      <w:r>
        <w:t>Die Beschwerde richtet sich gegen den Beschluss RB130060, mit dem das Obergericht das Gesuch des Beschwerdeführers um unentgeltliche Rechtspflege und Rechtsverbeiständung für das Beschwerdeverfahren abgewiesen hat. Der Beschwerdeführer beantragt die Aufhebung des angefochtenen Beschlusses, begründet indessen mit keinem Wort, weshalb die obergerichtliche Annahme, sein Antrag müsse als von Anfang an chancenlos bezeichnet werden, bundesrechtswidrig sein könnte ( Art. 42 Abs. 2 BGG ; BGE 140 III 115 E. 2 S. 116). Auf die Beschwerde kann deshalb nicht eingetreten werden.</w:t>
      </w:r>
    </w:p>
    <w:p>
      <w:r>
        <w:rPr>
          <w:b/>
        </w:rPr>
        <w:t>E. 5</w:t>
      </w:r>
    </w:p>
    <w:p>
      <w:r>
        <w:t>Das angefochtene Urteil RB130060 betrifft die Gerichtsgebühr für das Ausstandsverfahren und damit einen selbstständig eröffneten Zwischenentscheid über den Ausstand ausschliesslich im Kostenpunkt. Die Zulässigkeit der Beschwerde bestimmt sich deshalb nicht nach Art. 92 i.V.m. Art. 117 BGG , sondern nach Art. 93 Abs. 1 lit. a i.V.m. Art. 117 BGG . Vorausgesetzt ist, dass der Zwischenentscheid im Kostenpunkt einen nicht wieder gutzumachenden Nachteil bewirken kann. Diese Voraussetzung ist nicht erfüllt, zumal der Zwischenentscheid im Kostenpunkt ohne Rechtsnachteil durch Beschwerde gegen den Endentscheid angefochten werden kann ( BGE 138 III 94 E. 2.3 und E. 2.4 S. 95 f.). Die Beschwerde erweist sich auch insoweit als unzulässig.</w:t>
      </w:r>
    </w:p>
    <w:p>
      <w:r>
        <w:rPr>
          <w:b/>
        </w:rPr>
        <w:t>E. 6</w:t>
      </w:r>
    </w:p>
    <w:p>
      <w:r>
        <w:t>Auf die Beschwerde kann insgesamt nicht eingetreten werden. Der Beschwerdeführer wird damit kosten-, nicht hingegen entschädigungspflichtig ( Art. 66 Abs. 1 und Art. 68 Abs. 3 BGG ). Wie die vorstehenden Erwägungen verdeutlichen, konnte seinen Anträgen und Begehren von Beginn an kein Erfolg beschieden sein. Das Gesuch des Beschwerdeführers um unentgeltliche Rechtspflege muss deshalb abgewiesen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