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5D_74/2021 vom 26. Mai 2021</w:t>
      </w:r>
    </w:p>
    <w:p>
      <w:r>
        <w:t>Bundesgericht, 2021-05-26, DE</w:t>
      </w:r>
    </w:p>
    <w:p>
      <w:r>
        <w:rPr>
          <w:b/>
        </w:rPr>
        <w:t xml:space="preserve">Quelle: </w:t>
      </w:r>
      <w:r>
        <w:t>https://mcp.opencaselaw.ch/entscheid/bger_5D_74_2021</w:t>
      </w:r>
    </w:p>
    <w:p>
      <w:r>
        <w:t>FR: TF 5D_74/2021 du 26 mai 2021</w:t>
      </w:r>
    </w:p>
    <w:p>
      <w:r>
        <w:t>IT: TF 5D_74/2021 del 26 maggio 2021</w:t>
      </w:r>
    </w:p>
    <w:p>
      <w:pPr>
        <w:pStyle w:val="Heading2"/>
      </w:pPr>
      <w:r>
        <w:t>Erwägungen</w:t>
      </w:r>
    </w:p>
    <w:p>
      <w:r>
        <w:rPr>
          <w:b/>
        </w:rPr>
        <w:t>E. 1</w:t>
      </w:r>
    </w:p>
    <w:p>
      <w:r>
        <w:t>Mit Entscheid vom 2. Dezember 2020 erteilte das Kreisgericht St. Gallen dem Beschwerdegegner gegenüber der Beschwerdeführerin in der Betreibung Nr. xxx des Betreibungsamtes St. Gallen definitive Rechtsöffnung für Fr. 3'000.--.</w:t>
      </w:r>
    </w:p>
    <w:p>
      <w:r>
        <w:t>Dagegen erhob die Beschwerdeführerin am 13. Dezember 2020 Beschwerde. Am 15. Dezember 2020 zahlte die Beschwerdeführerin die Betreibungsforderung einschliesslich Kosten an das Betreibungsamt. Mit Entscheid vom 17. März 2021 schrieb das Kantonsgericht St. Gallen das Verfahren als gegenstandslos ab. Das Kantonsgericht auferlegte der Beschwerdeführerin die Kosten von Fr. 200.--.</w:t>
      </w:r>
    </w:p>
    <w:p>
      <w:r>
        <w:t>Gegen diesen Entscheid hat die Beschwerdeführerin am 18. April 2021 (Postaufgabe) subsidiäre Verfassungsbeschwerde an das Bundesgericht erhoben.</w:t>
      </w:r>
    </w:p>
    <w:p>
      <w:r>
        <w:rPr>
          <w:b/>
        </w:rPr>
        <w:t>E. 2</w:t>
      </w:r>
    </w:p>
    <w:p>
      <w:r>
        <w:t>Die Beschwerde ist nicht nur von B.________ als einzelzeichnungsberechtigter Gesellschafterin der Beschwerdeführerin unterzeichnet, sondern auch von C.________, der sich als "amtlich beglaubigter Generalbevollmächtigter" bezeichnet. Es ist nicht klar, wen er vertreten will. Es wird zwar eine Generalvollmacht von D.________ erwähnt, doch ist dieser nicht Partei des vorliegenden Verfahrens. C.________ ist vorliegend auch nicht persönlich Partei. Die ihm in einem anderen Verfahren auferlegte Busse ist nicht Gegenstand des vorliegenden Rechtsöffnungsverfahrens und deren Aufhebung kann in diesem Verfahren nicht verlangt werden.</w:t>
      </w:r>
    </w:p>
    <w:p>
      <w:r>
        <w:rPr>
          <w:b/>
        </w:rPr>
        <w:t>E. 3</w:t>
      </w:r>
    </w:p>
    <w:p>
      <w:r>
        <w:t>Die subsidiäre Verfassungsbeschwerde ( Art. 113 ff. BGG ) ist vorliegend das zutreffende Rechtsmittel (Art. 74 Abs. 1 lit. b und Abs. 2 lit. a BGG).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Die Beschwerdeführerin legt nicht dar, inwiefern der angefochtene Entscheid gegen verfassungsmässige Rechte verstossen soll. Stattdessen äussert sie sich weitschweifig zu anderen Themen, insbesondere zur angeblichen Unterwanderung des Kantons St. Gallen durch E.________.</w:t>
      </w:r>
    </w:p>
    <w:p>
      <w:r>
        <w:rPr>
          <w:b/>
        </w:rPr>
        <w:t>E. 5</w:t>
      </w:r>
    </w:p>
    <w:p>
      <w:r>
        <w:t>Die Beschwerde ist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