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5D_74/2018 vom 19. April 2018</w:t>
      </w:r>
    </w:p>
    <w:p>
      <w:r>
        <w:t>Bundesgericht, 2018-04-19, DE</w:t>
      </w:r>
    </w:p>
    <w:p>
      <w:r>
        <w:rPr>
          <w:b/>
        </w:rPr>
        <w:t xml:space="preserve">Quelle: </w:t>
      </w:r>
      <w:r>
        <w:t>https://mcp.opencaselaw.ch/entscheid/bger_5D_74_2018</w:t>
      </w:r>
    </w:p>
    <w:p>
      <w:r>
        <w:t>FR: TF 5D_74/2018 du 19 avril 2018</w:t>
      </w:r>
    </w:p>
    <w:p>
      <w:r>
        <w:t>IT: TF 5D_74/2018 del 19 aprile 2018</w:t>
      </w:r>
    </w:p>
    <w:p>
      <w:pPr>
        <w:pStyle w:val="Heading2"/>
      </w:pPr>
      <w:r>
        <w:t>Erwägungen</w:t>
      </w:r>
    </w:p>
    <w:p>
      <w:r>
        <w:rPr>
          <w:b/>
        </w:rPr>
        <w:t>E. 1</w:t>
      </w:r>
    </w:p>
    <w:p>
      <w:r>
        <w:t>Gemäss Art. 40 Abs. 1 des Bundesgerichtsgesetzes (BGG, SR 173.110) ist die Rechtsvertretung vor Bundesgericht Anwälten im Sinn des Anwaltsgesetzes (BGFA, SR 935.61) vorbehalten bzw. solchen, die nach dem Freizügigkeitsübereinkommen (FZG, SR 0.142.112.681; vgl. dazu Art. 21 ff. BGFA ) hierzu befugt sind.</w:t>
      </w:r>
    </w:p>
    <w:p>
      <w:r>
        <w:t>Dass Dr. Ulrich Klimscha als österreichischer Notar zur Ausübung einer anwaltlichen Tätigkeit in der Schweiz berechtigt wäre, darf bezweifelt werden. Die Aufforderung zur Einreichung eines entsprechenden Nachweises oder die Verbesserung des Mangels mittels Rücksendung der Beschwerde zur persönlichen Unterzeichnung durch die Beschwerdeführerin ( Art. 42 Abs. 5 BGG ) ist indes entbehrlich, weil auf die Beschwerde ohnehin nicht eingetreten werden kann, wie die nachfolgenden Ausführungen zeigen.</w:t>
      </w:r>
    </w:p>
    <w:p>
      <w:r>
        <w:rPr>
          <w:b/>
        </w:rPr>
        <w:t>E. 2</w:t>
      </w:r>
    </w:p>
    <w:p>
      <w:r>
        <w:t>Der angefochtene Entscheid geht von einer kantonal letztinstanzlichen Instanz aus ( Art. 75 Abs. 1 BGG ), erreicht aber den für die Beschwerde in Zivilsachen erforderlichen Mindeststreitwert von Fr. 30'000.-- nicht ( Art. 74 Abs. 1 lit. b BGG ), weshalb nur die subsidiäre Verfassungsbeschwerde offen steht ( Art. 113 BGG ).</w:t>
      </w:r>
    </w:p>
    <w:p>
      <w:r>
        <w:t>Mit dieser kann nicht einfach eine Verletzung von Bundes- oder Staatsvertragsrecht im Sinn von Art. 95 BGG vorgebracht, sondern einzig eine Verletzung verfassungsmässiger Rechte gerügt werden ( Art. 116 BGG ), wofür das strenge Rügeprinzip gilt (Art. 106 Abs. 2 i.V.m. Art. 117 BGG ).</w:t>
      </w:r>
    </w:p>
    <w:p>
      <w:r>
        <w:t>In der Beschwerde werden keinerlei verfassungsmässigen Rechte als verletzt angerufen. Auch inhaltlich genügt die Eingabe den Begründungsanforderungen, wie sie im Bereich des strikten Rügeprinzips gelten, nicht ansatzweise (zu den Voraussetzungen vgl. BGE 134 II 244 E. 2.2 S. 246 ; 141 I 36 E. 1.3 S. 41; 142 II 369 E. 2.1 S. 372; 142 III 364 E. 2.4 S. 368).</w:t>
      </w:r>
    </w:p>
    <w:p>
      <w:r>
        <w:rPr>
          <w:b/>
        </w:rPr>
        <w:t>E. 3</w:t>
      </w:r>
    </w:p>
    <w:p>
      <w:r>
        <w:t>Nach dem Gesagten erweist sich die Beschwerde - abgesehen von den erwähnten formellen Mängeln - als offensichtlich nicht hinreichend begründet, weshalb auf sie nicht eingetreten werden kann und im vereinfachten Verfahren mit Präsidialurteil zu entscheiden ist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Indes rechtfertigt es sich angesichts der konkreten Umstände, ausnahmsweise von der Erhebung von Gerichtskosten abzusehen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