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5D_72/2019 vom 25. April 2019</w:t>
      </w:r>
    </w:p>
    <w:p>
      <w:r>
        <w:t>Bundesgericht, 2019-04-25, DE</w:t>
      </w:r>
    </w:p>
    <w:p>
      <w:r>
        <w:rPr>
          <w:b/>
        </w:rPr>
        <w:t xml:space="preserve">Quelle: </w:t>
      </w:r>
      <w:r>
        <w:t>https://mcp.opencaselaw.ch/entscheid/bger_5D_72_2019</w:t>
      </w:r>
    </w:p>
    <w:p>
      <w:r>
        <w:t>FR: TF 5D_72/2019 du 25 avril 2019</w:t>
      </w:r>
    </w:p>
    <w:p>
      <w:r>
        <w:t>IT: TF 5D_72/2019 del 25 aprile 2019</w:t>
      </w:r>
    </w:p>
    <w:p>
      <w:pPr>
        <w:pStyle w:val="Heading2"/>
      </w:pPr>
      <w:r>
        <w:t>Erwägungen</w:t>
      </w:r>
    </w:p>
    <w:p>
      <w:r>
        <w:rPr>
          <w:b/>
        </w:rPr>
        <w:t>E. 1</w:t>
      </w:r>
    </w:p>
    <w:p>
      <w:r>
        <w:t>Angefochten ist das kantonal letztinstanzliche Urteil über die Kostenregelung in einem erstinstanzlichen Zivilverfahren. Der diesbezügliche Streitwert liegt weit unter der gemäss Art. 74 Abs. 1 lit. b BGG für eine Beschwerde in Zivilsachen erforderlichen Mindestsumme von Fr. 30'000.--.</w:t>
      </w:r>
    </w:p>
    <w:p>
      <w:r>
        <w:rPr>
          <w:b/>
        </w:rPr>
        <w:t>E. 2</w:t>
      </w:r>
    </w:p>
    <w:p>
      <w:r>
        <w:t>Es steht mithin einzig die subsidiäre Verfassungsbeschwerde offen ( Art. 113 ff. BGG ). Mit dieser kann, wie es schon ihr Name sagt, ausschliesslich die Verletzung verfassungsmässiger Rechte gerügt werden ( Art. 116 BGG ), wobei hierfür das strenge Rügeprinzip gilt (Art. 106 Abs. 2 i.V.m. Art. 117 BGG ).</w:t>
      </w:r>
    </w:p>
    <w:p>
      <w:r>
        <w:rPr>
          <w:b/>
        </w:rPr>
        <w:t>E. 3</w:t>
      </w:r>
    </w:p>
    <w:p>
      <w:r>
        <w:t>Die Beschwerdeführer rufen keine verfassungsmässigen Rechte als verletzt an; schon daran scheitert die Beschwerde. Die Ausführungen, mit welchen in appellatorischer Weise die eigene Sicht der Dinge im Zusammenhang mit dem Rückschnitt und der Kostenverlegung geschildert wird, würde aber auch inhaltlich den im Bereich des Rügeprinzips geltenden Begründungsanforderungen nicht genügen (vgl. dazu BGE 142 III 364 E. 2.4 S. 368).</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