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5D_71/2022 vom 17. Mai 2022</w:t>
      </w:r>
    </w:p>
    <w:p>
      <w:r>
        <w:t>Bundesgericht, 2022-05-17, DE</w:t>
      </w:r>
    </w:p>
    <w:p>
      <w:r>
        <w:rPr>
          <w:b/>
        </w:rPr>
        <w:t xml:space="preserve">Quelle: </w:t>
      </w:r>
      <w:r>
        <w:t>https://mcp.opencaselaw.ch/entscheid/bger_5D_71_2022</w:t>
      </w:r>
    </w:p>
    <w:p>
      <w:r>
        <w:t>FR: TF 5D_71/2022 du 17 mai 2022</w:t>
      </w:r>
    </w:p>
    <w:p>
      <w:r>
        <w:t>IT: TF 5D_71/2022 del 17 maggio 2022</w:t>
      </w:r>
    </w:p>
    <w:p>
      <w:pPr>
        <w:pStyle w:val="Heading2"/>
      </w:pPr>
      <w:r>
        <w:t>Erwägungen</w:t>
      </w:r>
    </w:p>
    <w:p>
      <w:r>
        <w:rPr>
          <w:b/>
        </w:rPr>
        <w:t>E. 1</w:t>
      </w:r>
    </w:p>
    <w:p>
      <w:r>
        <w:t>Der Streitwert beträgt gemäss den unbeanstandeten Feststellungen im angefochtenen Entscheid weniger als Fr. 30'000.-- ( Art. 74 Abs. 1 lit. b BGG ). Somit steht nicht die Beschwerde in Zivilsachen, sondern die subsidiäre Verfassungsbeschwerde zur Verfügung ( Art. 113 BGG ). Im Unterschied zu den früheren Verfahren erhebt der Beschwerdeführer vorliegend auch eine solche.</w:t>
      </w:r>
    </w:p>
    <w:p>
      <w:r>
        <w:rPr>
          <w:b/>
        </w:rPr>
        <w:t>E. 2</w:t>
      </w:r>
    </w:p>
    <w:p>
      <w:r>
        <w:t>Die Beschwerde scheitert indes bereits daran, dass sie entgegen der Vorgabe in Art. 42 Abs. 1 BGG kein Rechtsbegehren enthält. Unter der Überschrift "Rechtsbegehren" erfolgen ausschliesslich formelle Ausführungen; ein Rechtsbegehren zur Sache ist nirgends auszumachen.</w:t>
      </w:r>
    </w:p>
    <w:p>
      <w:r>
        <w:rPr>
          <w:b/>
        </w:rPr>
        <w:t>E. 3</w:t>
      </w:r>
    </w:p>
    <w:p>
      <w:r>
        <w:t>Im Übrigen fehlt es der Beschwerde aber auch an substanziierten Verfassungsrügen:</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w:t>
      </w:r>
    </w:p>
    <w:p>
      <w:r>
        <w:t>Anders als in früheren Verfahren wird in der vorliegenden Beschwerde zwar formell eine Verletzung verfassungsmässiger Rechte geltend gemacht, indem von einem "Verstoss auf rechtliches Gehör im Beweisverfahren ( Art. 9 und 29 Abs. 2 BV ) " die Rede ist. Indes wird in der weitschweifigen Beschwerde nirgends substanziiert und in nachvollziehbarer Weise dargelegt, inwiefern das Obergericht im angefochtenen Entscheid gegen diese verfassungsmässigen Rechte verstossen haben soll. Vielmehr besteht die insgesamt 34-seitige Beschwerde aus der Kopie diverser Dokumente (wobei die auf S. 5 wiedergegebene E-Mail des Geologen vom 9. Mai 2022, wonach das Obergericht den Kausalzusammenhang falsch beurteilt habe, ein echtes und damit von vornherein unzulässiges Novum darstellt; Art. 99 Abs. 1 BGG ; BGE 139 III 120 E. 3.1.2; 143 V 19 E. 1.2; 144 V 35 E. 5.2.4) sowie aus weitschweifigen appellatorischen Ausführungen. Mit der Kernerwägung des angefochtenen Entscheides, der Beschwerdeführer verkenne, dass zum einen das Gericht und nicht der Gutachter die Beweiswürdigung vornehme, wenn er die E-Mail des Geologen vom 10. Oktober 2021 zum Anlass des sechsten Revisionsgesuches nehme, und dass zum anderen der Geologe seine heutige Meinung zum damaligen Schadensereignis gestützt auf im Nachgang gewonnene Erkenntnisse wiedergebe, jedoch spätere Tatsachen und Beweismittel nach Art. 328 Abs. 2 lit. a ZPO keinen Revisionsgrund bilden würden. Der Beschwerdeführer legt wie gesagt nirgends in nachvollziehbarer Weise dar, inwiefern das Obergericht in diesem Zusammenhang verfassungsmässige Rechte verletzt hätte.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