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70/2013 vom 5. August 2013</w:t>
      </w:r>
    </w:p>
    <w:p>
      <w:r>
        <w:t>Bundesgericht, 2013-08-05, FR</w:t>
      </w:r>
    </w:p>
    <w:p>
      <w:r>
        <w:rPr>
          <w:b/>
        </w:rPr>
        <w:t xml:space="preserve">Quelle: </w:t>
      </w:r>
      <w:r>
        <w:t>https://mcp.opencaselaw.ch/entscheid/bger_5D_70_2013</w:t>
      </w:r>
    </w:p>
    <w:p>
      <w:r>
        <w:t>FR: TF 5D 70/2013 du 5 août 2013</w:t>
      </w:r>
    </w:p>
    <w:p>
      <w:r>
        <w:t>IT: TF 5D 70/2013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70/2013 (5D_70/2013) Tribunal fédéral IIe Cour de droit civil 05.08.2013 5D 70/2013 (5D_70/2013) Tribunale federale II Corte di diritto civile 05.08.2013 5D 70/2013 (5D_70/2013)</w:t>
      </w:r>
    </w:p>
    <w:p>
      <w:r>
        <w:t>assistance judiciaire (procédure de mainlevée) | Droit des poursuites et faillites</w:t>
      </w:r>
    </w:p>
    <w:p>
      <w:r>
        <w:t>Bundesgericht Tribunal fédéral Tribunale federale Tribunal federal {T 0/2} 5D_70/2013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11 février 2013. Vu: le recours formé le 21 mars 2013 par H.X.________ contre la décision rendue le 11 février 2013 par le Président de la Cour des poursuites et faillites du Tribunal cantonal vaudois, laquelle accorde au recourant l'assistance judiciaire avec effet au 17 janvier 2013 dans la procédure de mainlevée qui l'oppose à l'Etat de Vaud, mais l'astreint à payer une « franchise mensuelle » de 50 fr. dès et y compris le 1er mars 2013; l'arrêt de la Cour des poursuites et faillites du Tribunal cantonal vaudois du 28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(5D_119/2013); les observations du Président de la cour cantonale du 28 mars 2013; l'ordonnance présidentielle du 10 avril 2013 accordant l'effet suspensif au recours; considérant: que, par l'arrêt sur le fond du 28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