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5D_69/2022 vom 19. Mai 2022</w:t>
      </w:r>
    </w:p>
    <w:p>
      <w:r>
        <w:t>Bundesgericht, 2022-05-19, DE</w:t>
      </w:r>
    </w:p>
    <w:p>
      <w:r>
        <w:rPr>
          <w:b/>
        </w:rPr>
        <w:t xml:space="preserve">Quelle: </w:t>
      </w:r>
      <w:r>
        <w:t>https://mcp.opencaselaw.ch/entscheid/bger_5D_69_2022</w:t>
      </w:r>
    </w:p>
    <w:p>
      <w:r>
        <w:t>FR: TF 5D_69/2022 du 19 mai 2022</w:t>
      </w:r>
    </w:p>
    <w:p>
      <w:r>
        <w:t>IT: TF 5D_69/2022 del 19 maggio 2022</w:t>
      </w:r>
    </w:p>
    <w:p>
      <w:pPr>
        <w:pStyle w:val="Heading2"/>
      </w:pPr>
      <w:r>
        <w:t>Erwägungen</w:t>
      </w:r>
    </w:p>
    <w:p>
      <w:r>
        <w:rPr>
          <w:b/>
        </w:rPr>
        <w:t>E. 1</w:t>
      </w:r>
    </w:p>
    <w:p>
      <w:r>
        <w:t>Mit Urteil vom 17. Dezember 2021 erteilte das Bezirksgericht Uster dem Beschwerdegegner gegenüber dem Beschwerdeführer in der Betreibung Nr. xxx des Betreibungsamtes Uster die definitive Rechtsöffnung für Fr. 170.-- nebst Zins, Kosten und Entschädigung.</w:t>
      </w:r>
    </w:p>
    <w:p>
      <w:r>
        <w:t>Dagegen erhob der Beschwerdeführer am 4. März 2022 Beschwerde. Mit Beschluss vom 22. März 2022 trat das Obergericht des Kantons Zürich auf die Beschwerde nicht ein.</w:t>
      </w:r>
    </w:p>
    <w:p>
      <w:r>
        <w:t>Dagegen hat der Beschwerdeführer am 2. Mai 2022 Beschwerde in Zivilsachen und subsidiäre Verfassungsbeschwerde an das Bundesgericht erhoben.</w:t>
      </w:r>
    </w:p>
    <w:p>
      <w:r>
        <w:rPr>
          <w:b/>
        </w:rPr>
        <w:t>E. 2</w:t>
      </w:r>
    </w:p>
    <w:p>
      <w:r>
        <w:t>Der Beschwerdeführer hält das Bundesgericht für befangen. Das Bundesgericht als Institution kann nicht abgelehnt werden. Die vom Beschwerdeführer vertretene Weltanschauung (vgl. unten E. 3) und seine Auffassung, alle Gerichte seien weder unabhängig noch unparteiisch, ändern daran nichts. Ablehnungsanträge hinsichtlich einzelner Gerichtspersonen fehlen.</w:t>
      </w:r>
    </w:p>
    <w:p>
      <w:r>
        <w:rPr>
          <w:b/>
        </w:rPr>
        <w:t>E. 3</w:t>
      </w:r>
    </w:p>
    <w:p>
      <w:r>
        <w:t>Aufgrund des unter Fr. 30'000.-- liegenden Streitwerts ( Art. 74 Abs. 1 lit. b BGG ) und mangels Vorliegens einer Rechtsfrage von grundsätzlicher Bedeutung ( Art. 74 Abs. 2 lit. a BGG ) ist die Beschwerde in Zivilsachen unzulässig und die Eingabe als subsidiäre Verfassungsbeschwerde entgegenzunehmen ( Art. 113 ff. BGG ). Mit ihr kann nur die Verletzung verfassungsmässiger Rechte gerügt werden ( Art. 116 BGG ).</w:t>
      </w:r>
    </w:p>
    <w:p>
      <w:r>
        <w:t>Der Entscheid des Obergerichts ist ein Nichteintretensentscheid. Thema des bundesgerichtlichen Verfahrens ist demnach einzig, ob das Obergericht gegen verfassungsmässige Rechte verstossen hat, indem es auf die kantonale Beschwerde nicht eingetreten ist. Diesbezüglich müsste der Beschwerdeführer anhand der Erwägungen des angefochtenen Entscheids klar und detailliert darlegen, inwiefern verfassungsmässige Rechte verletzt worden sein sollen (Art. 117 i.V.m. Art. 106 Abs. 2 BGG ; BGE 133 II 396 E. 3.1; 142 III 364 E. 2.4). Das Obergericht hat erwogen, bedingte Beschwerden seien unzulässig. Der Beschwerdeführer geht darauf nicht im Einzelnen ein, sondern stellt den obergerichtlichen Erwägungen bloss seine Weltanschauung entgegen (Behörden seien Firmen, weshalb ihnen die hoheitliche Legitimation fehle und alle ihre Handlungen nichtig seien; die Menschheit solle Babylon unterworfen werden und das Verhalten des Obergerichts beweise, dass seine Funktionäre Lakaien von Babylon seien etc.). Zudem stellt er unzulässige Bedingungen für das Tätigwerden des Bundesgerichts auf.</w:t>
      </w:r>
    </w:p>
    <w:p>
      <w:r>
        <w:t>Die Beschwerde ist damit offensichtlich unzulässig und sie enthält offensichtlich keine hinreichende Begründung. Zudem ist sie querulatorisch und rechtsmissbräuchlich. Darauf ist im vereinfachten Verfahren durch das präsidierende Mitglied der Abteilung nicht einzutreten (Art. 117 i.V.m. Art. 108 Abs. 1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