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69/2020 vom 28. April 2020</w:t>
      </w:r>
    </w:p>
    <w:p>
      <w:r>
        <w:t>Bundesgericht, 2020-04-28, DE</w:t>
      </w:r>
    </w:p>
    <w:p>
      <w:r>
        <w:rPr>
          <w:b/>
        </w:rPr>
        <w:t xml:space="preserve">Quelle: </w:t>
      </w:r>
      <w:r>
        <w:t>https://mcp.opencaselaw.ch/entscheid/bger_5D_69_2020</w:t>
      </w:r>
    </w:p>
    <w:p>
      <w:r>
        <w:t>FR: TF 5D 69/2020 du 28 avril 2020</w:t>
      </w:r>
    </w:p>
    <w:p>
      <w:r>
        <w:t>IT: TF 5D 69/2020 del 28 aprile 2020</w:t>
      </w:r>
    </w:p>
    <w:p>
      <w:pPr>
        <w:pStyle w:val="Heading2"/>
      </w:pPr>
      <w:r>
        <w:t>Regeste</w:t>
      </w:r>
    </w:p>
    <w:p>
      <w:r>
        <w:t>Bewilligung Rechtsvorschlag (SchKG 265a)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den Entscheid über die Bewilligung des Rechtsvorschlages mangels neuen Vermögens ist kein (kantonales) Rechtsmittel zulässig ( Art. 265a Abs. 1 SchKG ; BGE 134 III 524 E. 1.3 S. 527 f.; 138 III 130 E. 2.2 S. 131). An sich ist diesbezüglich auch nicht direkt eine Beschwerde vor Bundesgericht möglich, sondern zuerst Klage nach Art. 265a Abs. 4 SchKG zu erheben. Ein letztinstanzlicher Entscheid mit direkter Beschwerdemöglichkeit liegt jedoch vor (Art. 114 i.V.m. Art. 75 Abs. 1 BGG ), wenn - wie dies mit Ziff. 8 der Beschwerdebegründung durchaus der Fall sein könnte - eine Gehörsrüge vorgebracht wird, denn eine allfällige Gehörsverletzung kann im nachfolgenden Verfahren nach Art. 265a Abs. 4 SchKG nicht mehr geheilt werden ( BGE 134 III 524 E. 1.3 S. 528; 138 III 44 E. 1.3 S. 45). Insofern ist die Weiterleitung an das Bundesgericht zu Recht erfolgt.</w:t>
      </w:r>
    </w:p>
    <w:p>
      <w:r>
        <w:rPr>
          <w:b/>
        </w:rPr>
        <w:t>E. 2</w:t>
      </w:r>
    </w:p>
    <w:p>
      <w:r>
        <w:t>Indes haben die Gläubiger mit Schreiben vom 24. April 2020 um Einstellung des Beschwerdeverfahrens ersucht, weil ein solches nicht die Absicht gewesen sei. Eine Verfahrenseinstellung ist vorliegend nicht möglich; das Schreiben ist aber offensichtlich als Rückzugserklärung zu verstehen. Das Beschwerdeverfahren 5D_69/2020 ist mithin zufolge Rückzuges der Beschwerde durch das präsidierende Mitglied abzuschreiben ( Art. 32 Abs. 2 und Art. 71 BGG i.V.m. Art. 73 BZP ).</w:t>
      </w:r>
    </w:p>
    <w:p>
      <w:r>
        <w:rPr>
          <w:b/>
        </w:rPr>
        <w:t>E. 3</w:t>
      </w:r>
    </w:p>
    <w:p>
      <w:r>
        <w:t>Angesichts der konkreten Umstände rechtfertigt es sich, ausnahmsweise auf die Erhebung von Gerichtskosten zu verzichten ( Art 66 Abs. 1 und Art. 71 BGG i.V.m. Art. 5 Abs. 2 BZP ). Der Gegenpartei ist kein entschädigungspflichtiger Aufwand entstanden. 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